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23" w:rsidRDefault="004C3474" w:rsidP="000D357C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C7CDD78" wp14:editId="6D490FBF">
            <wp:simplePos x="0" y="0"/>
            <wp:positionH relativeFrom="column">
              <wp:posOffset>-899795</wp:posOffset>
            </wp:positionH>
            <wp:positionV relativeFrom="paragraph">
              <wp:posOffset>-805180</wp:posOffset>
            </wp:positionV>
            <wp:extent cx="7570470" cy="10709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D357C" w:rsidP="000D357C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8FE8" wp14:editId="739594DD">
                <wp:simplePos x="0" y="0"/>
                <wp:positionH relativeFrom="column">
                  <wp:posOffset>-899795</wp:posOffset>
                </wp:positionH>
                <wp:positionV relativeFrom="paragraph">
                  <wp:posOffset>184150</wp:posOffset>
                </wp:positionV>
                <wp:extent cx="7567930" cy="166497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AC3" w:rsidRPr="000D357C" w:rsidRDefault="000D357C" w:rsidP="00345A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4F6228" w:themeColor="accent3" w:themeShade="80"/>
                                <w:sz w:val="96"/>
                                <w:szCs w:val="96"/>
                                <w:lang w:val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4F6228" w:themeColor="accent3" w:themeShade="80"/>
                                <w:sz w:val="96"/>
                                <w:szCs w:val="96"/>
                                <w:lang w:val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МЕТОДИЧЕСКИЕ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8FE8" id="Прямоугольник 7" o:spid="_x0000_s1026" style="position:absolute;margin-left:-70.85pt;margin-top:14.5pt;width:595.9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" filled="f" stroked="f" strokeweight="1pt">
                <v:textbox>
                  <w:txbxContent>
                    <w:p w:rsidR="00D94AC3" w:rsidRPr="000D357C" w:rsidRDefault="000D357C" w:rsidP="00345A2F">
                      <w:pPr>
                        <w:spacing w:after="0" w:line="240" w:lineRule="auto"/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4F6228" w:themeColor="accent3" w:themeShade="80"/>
                          <w:sz w:val="96"/>
                          <w:szCs w:val="96"/>
                          <w:lang w:val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4F6228" w:themeColor="accent3" w:themeShade="80"/>
                          <w:sz w:val="96"/>
                          <w:szCs w:val="96"/>
                          <w:lang w:val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МЕТОДИЧЕСКИЕ РЕКОМЕНДАЦИИ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7E098E" w:rsidP="000D357C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F6D65" wp14:editId="59B48A71">
                <wp:simplePos x="0" y="0"/>
                <wp:positionH relativeFrom="column">
                  <wp:posOffset>2286635</wp:posOffset>
                </wp:positionH>
                <wp:positionV relativeFrom="paragraph">
                  <wp:posOffset>311150</wp:posOffset>
                </wp:positionV>
                <wp:extent cx="4314825" cy="27051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AC3" w:rsidRPr="000D357C" w:rsidRDefault="000D357C" w:rsidP="000D357C">
                            <w:pPr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по вопросам привлечения </w:t>
                            </w:r>
                            <w:r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                   </w:t>
                            </w: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>к ответственности должностных лиц за непринятие мер по предотвращению и (или) урегулированию</w:t>
                            </w: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>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6D65" id="Прямоугольник 8" o:spid="_x0000_s1027" style="position:absolute;margin-left:180.05pt;margin-top:24.5pt;width:339.75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" filled="f" stroked="f" strokeweight="1pt">
                <v:textbox>
                  <w:txbxContent>
                    <w:p w:rsidR="00D94AC3" w:rsidRPr="000D357C" w:rsidRDefault="000D357C" w:rsidP="000D357C">
                      <w:pPr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</w:pP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по вопросам привлечения </w:t>
                      </w:r>
                      <w:r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                   </w:t>
                      </w: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>к ответственности должностных лиц за непринятие мер по предотвращению и (или) урегулированию</w:t>
                      </w: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>конфликта 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00023" w:rsidRDefault="000D357C" w:rsidP="000D357C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E45F" wp14:editId="6F03C9E7">
                <wp:simplePos x="0" y="0"/>
                <wp:positionH relativeFrom="column">
                  <wp:posOffset>1995805</wp:posOffset>
                </wp:positionH>
                <wp:positionV relativeFrom="paragraph">
                  <wp:posOffset>176530</wp:posOffset>
                </wp:positionV>
                <wp:extent cx="4476750" cy="6858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57C" w:rsidRPr="000D357C" w:rsidRDefault="000D357C" w:rsidP="000D357C">
                            <w:pPr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 xml:space="preserve">Министерство труда и социальной защиты </w:t>
                            </w:r>
                            <w:r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 xml:space="preserve">                   </w:t>
                            </w: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E45F" id="Прямоугольник 2" o:spid="_x0000_s1028" style="position:absolute;margin-left:157.15pt;margin-top:13.9pt;width:352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" filled="f" stroked="f" strokeweight="1pt">
                <v:textbox>
                  <w:txbxContent>
                    <w:p w:rsidR="000D357C" w:rsidRPr="000D357C" w:rsidRDefault="000D357C" w:rsidP="000D357C">
                      <w:pPr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</w:pP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 xml:space="preserve">Министерство труда и социальной защиты </w:t>
                      </w:r>
                      <w:r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 xml:space="preserve">                   </w:t>
                      </w: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p w:rsidR="000D357C" w:rsidRPr="000D357C" w:rsidRDefault="000D357C" w:rsidP="000D3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1. Введение</w:t>
      </w:r>
    </w:p>
    <w:p w:rsidR="000D357C" w:rsidRPr="000D357C" w:rsidRDefault="000D357C" w:rsidP="000D35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0D357C">
          <w:rPr>
            <w:rFonts w:ascii="Times New Roman" w:eastAsia="Calibri" w:hAnsi="Times New Roman" w:cs="Times New Roman"/>
            <w:sz w:val="28"/>
            <w:szCs w:val="28"/>
            <w:lang w:val="ru-RU"/>
          </w:rPr>
          <w:t>2008 г</w:t>
        </w:r>
      </w:smartTag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 № 273-ФЗ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(далее – полномочия).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 </w:t>
      </w:r>
      <w:bookmarkStart w:id="0" w:name="_GoBack"/>
      <w:bookmarkEnd w:id="0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этой связи обязанность принимать меры по предотвращению и (или) урегулированию конфликта интересов (далее – предотвращение и урегулирование конфликта интересов) возлагается: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1) на государственных и муниципальных служащих;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2)</w:t>
      </w:r>
      <w:r w:rsidRPr="000D35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3)</w:t>
      </w:r>
      <w:r w:rsidRPr="000D35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задач, поставленных перед федеральными государственными органами;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4)</w:t>
      </w:r>
      <w:r w:rsidRPr="000D357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на иные категории лиц в случаях, предусмотренных федеральными законами.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иным категориям лиц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 конфликта интересов.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 Особенности проведения проверки соблюдения должностными лицами обязанности принимать меры по предотвращению и урегулированию конфликта интересов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с: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D357C">
          <w:rPr>
            <w:rFonts w:ascii="Times New Roman" w:eastAsia="Calibri" w:hAnsi="Times New Roman" w:cs="Times New Roman"/>
            <w:sz w:val="28"/>
            <w:szCs w:val="28"/>
            <w:lang w:val="ru-RU"/>
          </w:rPr>
          <w:t>2009 г</w:t>
        </w:r>
      </w:smartTag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 № 1065 (далее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соответственно – проверка, Положение о проверке);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D357C">
          <w:rPr>
            <w:rFonts w:ascii="Times New Roman" w:eastAsia="Calibri" w:hAnsi="Times New Roman" w:cs="Times New Roman"/>
            <w:sz w:val="28"/>
            <w:szCs w:val="28"/>
            <w:lang w:val="ru-RU"/>
          </w:rPr>
          <w:t>2009 г</w:t>
        </w:r>
      </w:smartTag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 № 1066;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2.2. В настоящих методических рекомендациях под достаточной информацией, являющейся основанием для проведения проверки, понимаются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Такие сведения могут содержаться в информаци</w:t>
      </w:r>
      <w:r w:rsidRPr="000D357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и,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Основанием для проведения проверки может, в том числе быть информация, ставшая известной работнику подразделения (уполномоченному лицу), в  ходе анализа сведений о доходах, расходах, об имуществе и обязательствах имущественного характера (далее – сведения о доходах),</w:t>
      </w:r>
      <w:r w:rsidRPr="000D357C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информации, сведения, публикуемые в социальных сетях и т.д.).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Решение принимается отдельно в отношении каждого должностного лица и оформляется в письменной форме.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2.6. В ходе проверки рекомендуется провести следующие мероприятия.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2.6.1. Сбор сведений и их анализ.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информацию о владении ценными бумагами организаций;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информацию о наличии долей в уставных капиталах организаций;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сведения об организациях и лицах, от которых должностное лицо, его супруга (супруг) и несовершеннолетние дети получали когда-либо доход.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Рекомендуется изучить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Необходимо учитывать, что задаваемые должностному лицу вопросы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ходе беседы рекомендуется обсудить следующие вопросы, касающиеся, в том числе: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основных требований антикоррупционного законодательства в соответствии с предметом проверки;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информации, послужившей основанием для осуществления проверки;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обстоятельств, свидетельствующих о возможном несоблюдении должностным лицом антикоррупционного законодательства;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информации, полученной по итогам запросов, если такие запросы были направлены до проведения беседы;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иные вопросы (в т.ч. организационного характера).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ходе беседы рекомендуется опросить должностное лицо по следующим блокам вопросов: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когда и при каких обстоятельствах возникла возможность конфликта интересов, которая изучается в рамках проведения проверки;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может возникнуть и какие меры необходимо было принять.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 по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Беседа не должна иметь обвинительный уклон, необходимо постараться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в ходе проверки.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случае,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0D357C" w:rsidRPr="000D357C" w:rsidRDefault="000D357C" w:rsidP="000D357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</w:t>
      </w:r>
      <w:proofErr w:type="gram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установлении  в</w:t>
      </w:r>
      <w:proofErr w:type="gram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2.6.3. Направление запросов (кроме запросов, касающихся осуществления оперативно-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разыскной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Так, например: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информацию о банковских счетах, открытых на должностное лицо, а также доли участия в уставных капиталах организаций;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2.6.4. 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Pr="000D357C">
        <w:rPr>
          <w:rFonts w:ascii="Calibri" w:eastAsia="Calibri" w:hAnsi="Calibri" w:cs="Times New Roman"/>
          <w:lang w:val="ru-RU"/>
        </w:rPr>
        <w:t xml:space="preserve">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2.6.5. Если для проведения проверки требуется проведение оперативно-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разыскных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мероприятий, проверка осуществляется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разыскной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деятельности, в соответствии с </w:t>
      </w:r>
      <w:hyperlink r:id="rId9" w:history="1">
        <w:r w:rsidRPr="000D357C">
          <w:rPr>
            <w:rFonts w:ascii="Times New Roman" w:eastAsia="Calibri" w:hAnsi="Times New Roman" w:cs="Times New Roman"/>
            <w:sz w:val="28"/>
            <w:szCs w:val="28"/>
            <w:lang w:val="ru-RU"/>
          </w:rPr>
          <w:t>частью третьей статьи 7</w:t>
        </w:r>
      </w:hyperlink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Федерального закона от 12 августа 1995 г. № 144-ФЗ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«Об оперативно-розыскной деятельности». При этом в таком запросе необходимо указать сведения, предусмотренные пунктом 17 Положения о проверке.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Подпунктом «а» пункта 24 Положения о проверке установлено право должностного лица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0D357C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родам, в иных установленных законом случаях. 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подразделения 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профилактике коррупционных и иных правонарушений о совершении коррупционного правонарушения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 Срок применения юридической ответственности за непринятие мер по предотвращению и урегулированию конфликта интересов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запретов, ограничений и обязанностей, установленных в целях противодействия коррупции. Так, взыскания за совершение коррупционного правонарушения применяются 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Однако согласно статье 193 Трудового кодекса Российской Федерации дисциплинарное взыскание за несоблюдение ограничений и запретов,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этой связи рекомендуется 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0D357C" w:rsidRPr="000D357C" w:rsidRDefault="000D357C" w:rsidP="000D35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неуведомление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необходимо достоверно установить, а в последующем изложить в докладе о результатах проверки одновременное наличие следующих обстоятельств: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1)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личной заинтересованности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К доходам, в частности, относится получение: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а) денег (в наличной и безналичной форме);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пользу имущественных обязательств и др.);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в) услуг имущественного характера;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г) результатов выполненных работ;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К иным выгодам, в частности, относятся: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б) ускорение сроков оказания государственных (муниципальных) услуг;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ряде случаев выгода может быть опосредована. Например, когда бездействие следователя или сотрудника, осуществляющего оперативно-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разыскную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2)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фактическое наличие у должностного лица полномочий для реализации личной заинтересованности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 решения должностного лица, которые могут выражаться в виде резолюций, поручений, распоряжений, протоколов совещаний и пр.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3)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1)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отношений близкого родства или свойства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граждан – получателей доходов или выгод с должностным лицом. Доказательством наличия таких отношений могут являться: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а) сведения, указанные в анкетных данных должностного лица;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б) акты гражданского состояния;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г) сведения о нахождении в браке и детях отраженные в паспорте гражданина;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д) иные документы и сведения, подтверждающие близкое родство и свойство;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имущественных отношений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 получателями доходов или выгод;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3)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корпоративных отношений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 должностным лицом, его близким родственником или свойственником и лицами – получателями дохода или выгоды. 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Согласно статье 2 Гражданского кодекса Российской Федерации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(далее – ГК РФ) корпоративные отношения возникают в связи </w:t>
      </w:r>
      <w:r w:rsidRPr="000D357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с участием в корпоративных организациях или с управлением ими.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4) </w:t>
      </w:r>
      <w:r w:rsidRPr="000D35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наличие иных близких отношений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между должностным лицом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</w:t>
      </w:r>
      <w:proofErr w:type="gram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такие  отношения</w:t>
      </w:r>
      <w:proofErr w:type="gram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должны носить особый доверительный характер. 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Информация о близком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Например, возможность возникновения конфликта интересов образуется и обязанность уведомить об этом появляется, когда: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к судебному приставу-исполнителю на исполнение попадает исполнительный документ в отношении должника, являющегося его близким родственником (свойственником);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налоговому инспектору поручают проведение камеральной проверки в организации, главный бухгалтер которой является его матерью.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4.4. 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Также в соответствии с частью 2 статьи 59.2 Федерального закона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br/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4.5. 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</w:p>
    <w:p w:rsidR="000D357C" w:rsidRPr="000D357C" w:rsidRDefault="000D357C" w:rsidP="000D357C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критерии:</w:t>
      </w:r>
    </w:p>
    <w:p w:rsidR="000D357C" w:rsidRPr="000D357C" w:rsidRDefault="000D357C" w:rsidP="000D357C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0D357C" w:rsidRPr="000D357C" w:rsidRDefault="000D357C" w:rsidP="000D357C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 обстоятельства, при которых совершено правонарушение;</w:t>
      </w:r>
    </w:p>
    <w:p w:rsidR="000D357C" w:rsidRPr="000D357C" w:rsidRDefault="000D357C" w:rsidP="000D357C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0D357C" w:rsidRPr="000D357C" w:rsidRDefault="000D357C" w:rsidP="000D357C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0D357C" w:rsidRPr="000D357C" w:rsidRDefault="000D357C" w:rsidP="000D357C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 предшествующие результаты исполнения должностным лицом своих полномочий.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неуведомлении</w:t>
      </w:r>
      <w:proofErr w:type="spellEnd"/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возникшем конфликте интересов или возможности его возникновения, к примеру, в следующих случаях: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закупочной комиссии государственной корпорации создал условия для признания победителем конкурса коммерческой организации, соучредителем которой он является; </w:t>
      </w:r>
    </w:p>
    <w:p w:rsidR="000D357C" w:rsidRPr="000D357C" w:rsidRDefault="000D357C" w:rsidP="000D3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0D357C" w:rsidRPr="000D357C" w:rsidRDefault="000D357C" w:rsidP="000D3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0D357C" w:rsidRPr="000D357C" w:rsidRDefault="000D357C" w:rsidP="000D3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4.6. </w:t>
      </w:r>
      <w:r w:rsidRPr="000D357C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В случае, если в ходе проверки установлены обстоятельства, свидетельствующие о 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0D357C" w:rsidRPr="000D357C" w:rsidRDefault="000D357C" w:rsidP="000D3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 наличии </w:t>
      </w:r>
      <w:r w:rsidRPr="000D357C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признаков 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состава </w:t>
      </w:r>
      <w:r w:rsidRPr="000D357C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преступления или признаков административного правонарушения могут свидетельствовать следующие случаи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:rsidR="000D357C" w:rsidRPr="000D357C" w:rsidRDefault="000D357C" w:rsidP="000D3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заместитель главы администрации сельского поселения в отсутствие соответствующих полномочий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;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заместитель генерального директора акционерного общества, которое оказывает клининговые услуги, обеспечил предоставление сотруднику налогового органа, являющегося его братом, бесплатных клининговых услуг за попустительство по службе в отношении указанного акционерного общества.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lastRenderedPageBreak/>
        <w:t xml:space="preserve">служебному поведению и урегулированию конфликта интересов (комиссию по координации 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работы по противодействию коррупции в субъекте Российской Федерации) (далее – комиссия).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случае, если имеющиеся у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>представителя нанимателя (руководителя) материалы и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результаты проведенной проверки прямо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материалы проверки могут не направляться в комиссию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D357C" w:rsidRP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0D35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представителю нанимателя (руководителю) рекомендуется направить </w:t>
      </w: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материалы проверки в комиссию</w:t>
      </w:r>
      <w:r w:rsidRPr="000D35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0D357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для представителя нанимателя (работодателя) рекомендательный характер.</w:t>
      </w:r>
    </w:p>
    <w:p w:rsidR="000D357C" w:rsidRDefault="000D357C" w:rsidP="000D35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</w:p>
    <w:p w:rsidR="000D357C" w:rsidRPr="000D357C" w:rsidRDefault="000D357C" w:rsidP="000D3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___________________</w:t>
      </w:r>
    </w:p>
    <w:p w:rsidR="00000023" w:rsidRDefault="00000023" w:rsidP="000D357C">
      <w:pPr>
        <w:widowControl w:val="0"/>
        <w:tabs>
          <w:tab w:val="left" w:pos="6083"/>
        </w:tabs>
        <w:rPr>
          <w:lang w:val="ru-RU"/>
        </w:rPr>
      </w:pPr>
    </w:p>
    <w:sectPr w:rsidR="00000023" w:rsidSect="000D357C">
      <w:headerReference w:type="default" r:id="rId10"/>
      <w:pgSz w:w="11906" w:h="16838"/>
      <w:pgMar w:top="1134" w:right="707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E2" w:rsidRDefault="007979E2" w:rsidP="00D94AC3">
      <w:pPr>
        <w:spacing w:after="0" w:line="240" w:lineRule="auto"/>
      </w:pPr>
      <w:r>
        <w:separator/>
      </w:r>
    </w:p>
  </w:endnote>
  <w:endnote w:type="continuationSeparator" w:id="0">
    <w:p w:rsidR="007979E2" w:rsidRDefault="007979E2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E2" w:rsidRDefault="007979E2" w:rsidP="00D94AC3">
      <w:pPr>
        <w:spacing w:after="0" w:line="240" w:lineRule="auto"/>
      </w:pPr>
      <w:r>
        <w:separator/>
      </w:r>
    </w:p>
  </w:footnote>
  <w:footnote w:type="continuationSeparator" w:id="0">
    <w:p w:rsidR="007979E2" w:rsidRDefault="007979E2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83064586"/>
      <w:docPartObj>
        <w:docPartGallery w:val="Page Numbers (Top of Page)"/>
        <w:docPartUnique/>
      </w:docPartObj>
    </w:sdtPr>
    <w:sdtContent>
      <w:p w:rsidR="000D357C" w:rsidRPr="000D357C" w:rsidRDefault="000D357C">
        <w:pPr>
          <w:pStyle w:val="a5"/>
          <w:jc w:val="center"/>
          <w:rPr>
            <w:rFonts w:ascii="Times New Roman" w:hAnsi="Times New Roman" w:cs="Times New Roman"/>
          </w:rPr>
        </w:pPr>
        <w:r w:rsidRPr="000D357C">
          <w:rPr>
            <w:rFonts w:ascii="Times New Roman" w:hAnsi="Times New Roman" w:cs="Times New Roman"/>
          </w:rPr>
          <w:fldChar w:fldCharType="begin"/>
        </w:r>
        <w:r w:rsidRPr="000D357C">
          <w:rPr>
            <w:rFonts w:ascii="Times New Roman" w:hAnsi="Times New Roman" w:cs="Times New Roman"/>
          </w:rPr>
          <w:instrText>PAGE   \* MERGEFORMAT</w:instrText>
        </w:r>
        <w:r w:rsidRPr="000D357C">
          <w:rPr>
            <w:rFonts w:ascii="Times New Roman" w:hAnsi="Times New Roman" w:cs="Times New Roman"/>
          </w:rPr>
          <w:fldChar w:fldCharType="separate"/>
        </w:r>
        <w:r w:rsidRPr="000D357C">
          <w:rPr>
            <w:rFonts w:ascii="Times New Roman" w:hAnsi="Times New Roman" w:cs="Times New Roman"/>
            <w:lang w:val="ru-RU"/>
          </w:rPr>
          <w:t>2</w:t>
        </w:r>
        <w:r w:rsidRPr="000D357C">
          <w:rPr>
            <w:rFonts w:ascii="Times New Roman" w:hAnsi="Times New Roman" w:cs="Times New Roman"/>
          </w:rPr>
          <w:fldChar w:fldCharType="end"/>
        </w:r>
      </w:p>
    </w:sdtContent>
  </w:sdt>
  <w:p w:rsidR="00D94AC3" w:rsidRPr="00D94AC3" w:rsidRDefault="00D94AC3" w:rsidP="000D357C">
    <w:pPr>
      <w:pStyle w:val="a5"/>
      <w:tabs>
        <w:tab w:val="clear" w:pos="4819"/>
        <w:tab w:val="clear" w:pos="9639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 w15:restartNumberingAfterBreak="0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3"/>
    <w:rsid w:val="00000023"/>
    <w:rsid w:val="00007909"/>
    <w:rsid w:val="00063977"/>
    <w:rsid w:val="000C501F"/>
    <w:rsid w:val="000D357C"/>
    <w:rsid w:val="00137AA6"/>
    <w:rsid w:val="001812BD"/>
    <w:rsid w:val="001C12A7"/>
    <w:rsid w:val="002E4CAF"/>
    <w:rsid w:val="002F3EB2"/>
    <w:rsid w:val="00345A2F"/>
    <w:rsid w:val="003F1D72"/>
    <w:rsid w:val="00444EF9"/>
    <w:rsid w:val="00492A1D"/>
    <w:rsid w:val="004C3474"/>
    <w:rsid w:val="00535BE5"/>
    <w:rsid w:val="00540495"/>
    <w:rsid w:val="00541AE7"/>
    <w:rsid w:val="00576FDD"/>
    <w:rsid w:val="00686AF2"/>
    <w:rsid w:val="00701AC1"/>
    <w:rsid w:val="0076266F"/>
    <w:rsid w:val="007979E2"/>
    <w:rsid w:val="007B48C8"/>
    <w:rsid w:val="007E098E"/>
    <w:rsid w:val="00A834AC"/>
    <w:rsid w:val="00A83760"/>
    <w:rsid w:val="00AF416E"/>
    <w:rsid w:val="00BB24B1"/>
    <w:rsid w:val="00BC5918"/>
    <w:rsid w:val="00BC7129"/>
    <w:rsid w:val="00BF33EC"/>
    <w:rsid w:val="00CC50B6"/>
    <w:rsid w:val="00CF44EB"/>
    <w:rsid w:val="00D94AC3"/>
    <w:rsid w:val="00DD05DD"/>
    <w:rsid w:val="00EB39BF"/>
    <w:rsid w:val="00EF3F47"/>
    <w:rsid w:val="00F112E9"/>
    <w:rsid w:val="00F14058"/>
    <w:rsid w:val="00F62FF6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9DDD66"/>
  <w15:docId w15:val="{86EE4BB4-CC90-463C-8344-6A4F64A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numbering" w:customStyle="1" w:styleId="1">
    <w:name w:val="Нет списка1"/>
    <w:next w:val="a2"/>
    <w:uiPriority w:val="99"/>
    <w:semiHidden/>
    <w:unhideWhenUsed/>
    <w:rsid w:val="000D357C"/>
  </w:style>
  <w:style w:type="paragraph" w:styleId="a9">
    <w:name w:val="List Paragraph"/>
    <w:basedOn w:val="a"/>
    <w:uiPriority w:val="34"/>
    <w:qFormat/>
    <w:rsid w:val="000D357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D3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???????? ????? (2)_"/>
    <w:rsid w:val="000D357C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D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D35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0D357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0D35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0D357C"/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0D357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0D357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0D357C"/>
    <w:rPr>
      <w:vertAlign w:val="superscript"/>
    </w:rPr>
  </w:style>
  <w:style w:type="paragraph" w:customStyle="1" w:styleId="ad">
    <w:name w:val="Стиль"/>
    <w:rsid w:val="000D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annotation reference"/>
    <w:uiPriority w:val="99"/>
    <w:semiHidden/>
    <w:unhideWhenUsed/>
    <w:rsid w:val="000D357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357C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357C"/>
    <w:rPr>
      <w:rFonts w:ascii="Calibri" w:eastAsia="Calibri" w:hAnsi="Calibri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357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357C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97188D8263D749136C9C2ADE18DE0D7E7F22E0CFD15751A210846F7AD8059CEE3B47Ao17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9AF9-C2E9-4922-A0D2-6A06001A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Панов Андрей Николаевич</cp:lastModifiedBy>
  <cp:revision>5</cp:revision>
  <cp:lastPrinted>2012-01-09T18:40:00Z</cp:lastPrinted>
  <dcterms:created xsi:type="dcterms:W3CDTF">2018-12-14T12:57:00Z</dcterms:created>
  <dcterms:modified xsi:type="dcterms:W3CDTF">2018-12-14T13:17:00Z</dcterms:modified>
</cp:coreProperties>
</file>