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F49" w:rsidRPr="00FE3F49" w:rsidRDefault="00FE3F49" w:rsidP="00FE3F49">
      <w:pPr>
        <w:keepNext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iCs/>
          <w:sz w:val="28"/>
          <w:szCs w:val="20"/>
          <w:lang w:eastAsia="ru-RU"/>
        </w:rPr>
      </w:pPr>
      <w:bookmarkStart w:id="0" w:name="_GoBack"/>
      <w:r w:rsidRPr="00FE3F49">
        <w:rPr>
          <w:rFonts w:ascii="Times New Roman" w:eastAsia="Times New Roman" w:hAnsi="Times New Roman" w:cs="Times New Roman"/>
          <w:b/>
          <w:bCs/>
          <w:iCs/>
          <w:sz w:val="28"/>
          <w:szCs w:val="20"/>
          <w:lang w:eastAsia="ru-RU"/>
        </w:rPr>
        <w:t xml:space="preserve">Результаты мониторинга наличия (отсутствия) административных барьеров и оценки состояния конкурентной среды субъектами предпринимательской деятельности </w:t>
      </w:r>
      <w:bookmarkEnd w:id="0"/>
    </w:p>
    <w:p w:rsidR="00FE3F49" w:rsidRPr="00FE3F49" w:rsidRDefault="00FE3F49" w:rsidP="00FE3F49">
      <w:pPr>
        <w:keepNext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keepNext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период с ноября по декабрь 2020 года специалистами отдела экономики проведен социологический опрос среди субъектов малого и среднего предпринимательства с целью мониторинга предпринимательского климата в муниципальном образовании и выявления возможных причин, препятствующих развитию малого бизнеса. </w:t>
      </w:r>
    </w:p>
    <w:p w:rsidR="00FE3F49" w:rsidRPr="00FE3F49" w:rsidRDefault="00FE3F49" w:rsidP="00FE3F49">
      <w:pPr>
        <w:keepNext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опросе приняли участие 8 субъектов малого бизнеса. Выборка составила 2,0% от количества субъектов МСП, зарегистрированных в Холмогорском районе </w:t>
      </w: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proofErr w:type="gram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Единого реестра субъектов МСП, что обеспечивает ее репрезентативность. </w:t>
      </w:r>
    </w:p>
    <w:p w:rsidR="00FE3F49" w:rsidRPr="00FE3F49" w:rsidRDefault="00FE3F49" w:rsidP="00FE3F49">
      <w:pPr>
        <w:keepNext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E3F49" w:rsidRPr="00FE3F49" w:rsidRDefault="00FE3F49" w:rsidP="00FE3F49">
      <w:pPr>
        <w:keepNext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Оценка состояния и развития конкурентной среды на рынках товаров и услуг Холмогорского муниципального района субъектами предпринимательской деятельности</w:t>
      </w:r>
    </w:p>
    <w:p w:rsidR="00FE3F49" w:rsidRPr="00FE3F49" w:rsidRDefault="00FE3F49" w:rsidP="00FE3F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структуре бизнеса, представляемого респондентами: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опрошенные являются представителями малого бизнеса.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Подавляющее количество принявших участие в опросе (62,5%) являются индивидуальными предпринимателями, а 37,5% представителями юридических лиц.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65DC1C" wp14:editId="62B9FADB">
            <wp:extent cx="4954772" cy="2062716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части социального статуса респондентов большая доля представлена собственниками бизнеса – 62%. Треть опрошенных составили руководители высшего звена.</w:t>
      </w: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То есть все опрошенные являются лицами, принимающими ключевые управленческие решения.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FE3F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D997DA" wp14:editId="1DA33614">
            <wp:extent cx="4572000" cy="2449902"/>
            <wp:effectExtent l="0" t="0" r="0" b="762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При этом абсолютное большинство предпринимателей, принявших участие в опросе (87,5%), являются представителями малого бизнеса.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5E535E" wp14:editId="52B0F62B">
            <wp:extent cx="4540103" cy="2530549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Большинство опрошенных также отметило, что ведет предпринимательскую деятельность достаточно давно, более 5 лет (75%), 25 % опрошенных развивает свой бизнес на протяжении 1-5 лет.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E0B239" wp14:editId="6C223668">
            <wp:extent cx="5089585" cy="22860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результатам опроса было выявлено, что 12% респондентов работают самостоятельно, у 50% респондентов в штате менее 15 человек, у 38% респондентов количество работников варьируется от 16 до 100 человек. Данные говорят о том, что большая часть опрошенных является представителями микро бизнеса.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8E1DBA" wp14:editId="221762A1">
            <wp:extent cx="4572000" cy="27432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 часть опрошенных, а это 57% является представителями микро бизнеса (годовая выручка до 120 млн. рублей), 29% - малых предприятий (годовая выручка от 120 до 800 млн. рублей) и 14% средних предприятий (годовая выручка от 800 до 2000 млн. рублей).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2F9047" wp14:editId="19BEF32C">
            <wp:extent cx="4572000" cy="27432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Рынок товаров (работ, услуг), на </w:t>
      </w:r>
      <w:proofErr w:type="gramStart"/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котором</w:t>
      </w:r>
      <w:proofErr w:type="gramEnd"/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респонденты осуществляют свой бизнес</w:t>
      </w:r>
    </w:p>
    <w:p w:rsidR="00FE3F49" w:rsidRPr="00FE3F49" w:rsidRDefault="00FE3F49" w:rsidP="00FE3F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Среди бизнесменов, принявших участие в опросе, 50% ведут предпринимательскую деятельность на территории Архангельской области и </w:t>
      </w: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столько же на территории отдельного муниципального образования. </w:t>
      </w: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/>
      </w:r>
      <w:r w:rsidRPr="00FE3F4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83B0BB" wp14:editId="501FD64A">
            <wp:extent cx="4572000" cy="2360428"/>
            <wp:effectExtent l="0" t="0" r="0" b="190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Участникам опроса было необходимо указать рынок ведения предпринимательской деятельности. Основную их часть составили представители малого бизнеса сферы по реализации сельскохозяйственной продукции (37,5%). По 12,5% представители следующих сфер: обработка древесины и производство изделий из дерева, племенное животноводство,  оказание услуг по перевозке пассажиров и багажа легковым такси, оказание услуг по перевозке пассажиров автомобильным транспортом по межмуниципальным маршрутам регулярных перевозок.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6CC559" wp14:editId="17DBD9D3">
            <wp:extent cx="6018028" cy="3987209"/>
            <wp:effectExtent l="0" t="0" r="190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E3F49" w:rsidRPr="00FE3F49" w:rsidRDefault="00FE3F49" w:rsidP="00FE3F49">
      <w:pPr>
        <w:tabs>
          <w:tab w:val="left" w:pos="142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tabs>
          <w:tab w:val="left" w:pos="142"/>
          <w:tab w:val="left" w:pos="993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Менее трети продукции бизнеса, участвовавшего в опросе, составляют услуги (25%), производство конечной продукции – 25% (в 2019 году – 23,1%,  7,7% соответственно), торговля или дистрибуция товаров и услуг, произведенных другими компаниями – 13%. Основной продукцией для 37% опрошенных респондентов является сырье или материалы для дальнейшей переработки (в 2019 году – 38,5%). </w:t>
      </w:r>
    </w:p>
    <w:p w:rsidR="00FE3F49" w:rsidRPr="00FE3F49" w:rsidRDefault="00FE3F49" w:rsidP="00FE3F49">
      <w:pPr>
        <w:tabs>
          <w:tab w:val="left" w:pos="142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en-US"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403C1B" wp14:editId="034ECA74">
            <wp:extent cx="5538158" cy="3079630"/>
            <wp:effectExtent l="0" t="0" r="5715" b="698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оценке респондентами уровня конкуренции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результатам анкетирования 57% опрошенных указывают, что их предприятия имеют от 1 до 5 конкурентов (2019 год – 53,9%), 43% респондентов говорят о том, что у них большое количество конкурентов.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B9742D" wp14:editId="65AA8005">
            <wp:extent cx="4912242" cy="2158410"/>
            <wp:effectExtent l="0" t="0" r="3175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большинства опрошенных (37,5 %), количество конкурентов бизнеса на рынке услуг за </w:t>
      </w: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последние</w:t>
      </w:r>
      <w:proofErr w:type="gram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года увеличилось незначительно. 25% респондентов отметили значительное увеличение конкурентов на рынках.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25% опрошенных считают, что количество конкурентов бизнеса на рынке услуг не изменилось. 12,5% отметили незначительное сокращение конкурентов.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FE2DF4" wp14:editId="2A35D730">
            <wp:extent cx="4976038" cy="1913861"/>
            <wp:effectExtent l="0" t="1905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Управление конкурентоспособностью</w:t>
      </w: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совокупность мер по систематическому совершенствованию выпускаемой продукции и оказываемых услуг, постоянному поиску новых каналов его сбыта, новых групп покупателей, улучшению сервиса, рекламы.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мониторинга респондентам предложили указать способы повышения конкурентоспособности, которые использовала организация за последние 3 года.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 показал, что большая часть респондентов для повышения конкурентоспособности приобретала машины и оборудование (50%), проводили обучение персонала (37,5%), использовала новые способы продвижения продукции, снижали торговую наценку и расширяли ассортимент продукции 15,5%. 12,5% респондентов ответили, что ничего не предпринимали для повышения конкурентоспособности.</w:t>
      </w:r>
    </w:p>
    <w:p w:rsidR="00FE3F49" w:rsidRPr="00FE3F49" w:rsidRDefault="00FE3F49" w:rsidP="00FE3F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8D1557" wp14:editId="3578A0B2">
            <wp:extent cx="5996763" cy="3636335"/>
            <wp:effectExtent l="0" t="0" r="4445" b="254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ведения бизнеса по уровню конкуренции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прошедший год доля тех, кто испытывает высокую конкуренцию, возрос и составил 42,9% (2019 год – 23,1%), вместе с тем процент </w:t>
      </w: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испытывающих умеренную конкуренцию снизился и составил 28,6% (2019 год – 53,85 %).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наблюдается увеличение доли респондентов, отметивших, что при ведении бизнеса они сталкиваются со слабой конкуренцией – 28,6% (2019 год – 7,7%).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B98A54" wp14:editId="3BFCA52A">
            <wp:extent cx="4572000" cy="2156603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Общие условия ведения бизнеса в Архангельской области половина </w:t>
      </w: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опрошенных</w:t>
      </w:r>
      <w:proofErr w:type="gram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оценивают как удовлетворительные, 37% - неудовлетворительные. Для 13% респондентов, общие условия ведения предпринимательской деятельности Архангельской области являются плохими.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100% </w:t>
      </w: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опрошенных</w:t>
      </w:r>
      <w:proofErr w:type="gram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считают, что начать с нуля новый бизнес в Архангельской области сложно.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58FE45" wp14:editId="7F1F77E0">
            <wp:extent cx="5135525" cy="2169041"/>
            <wp:effectExtent l="0" t="0" r="8255" b="317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уровня конкуренции на рынках Холмогорского района</w:t>
      </w:r>
    </w:p>
    <w:p w:rsidR="00FE3F49" w:rsidRPr="00FE3F49" w:rsidRDefault="00FE3F49" w:rsidP="00FE3F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состояния конкуренции и конкурентной среды на товарных рынках Холмогорского района показал, что высокая конкуренция присутствует на таких рынках как: рынок медицинских услуг, рынок услуг розничной торговли лекарственными препаратами, медицинскими изделиями и сопутствующими товарами, рынок оказания услуг по перевозке пассажиров и багажа легковым такси, рынок услуг связи, в том числе услуг по </w:t>
      </w: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предоставлению широкополосного доступа к информационно-телекоммуникационной сети «Интернет», рынок</w:t>
      </w:r>
      <w:proofErr w:type="gram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туристских услуг.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Большая часть респондентов (86%) оценили как умеренную конкуренцию на рынке реализации сельскохозяйственной продукции и 75% на рынке обработки древесины и производства изделий из дерева.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50 % опрошенных считают умеренную конкуренцию на следующих рынках: рынок теплоснабжения,  рынок выполнения работ по благоустройству городской среды, рынок оказания услуг по перевозке пассажиров и багажа легковым такси, рынок товарной </w:t>
      </w:r>
      <w:proofErr w:type="spell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аквакультуры</w:t>
      </w:r>
      <w:proofErr w:type="spell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, рынок туристских услуг.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Значительная часть респондентов отметила, что конкуренция отсутствует на следующих рынках: рынок услуг дошкольного образования,  рынок услуг общего образования, рынок услуг среднего профессионального образования, рынок услуг детского отдыха и оздоровления, рынок </w:t>
      </w:r>
      <w:proofErr w:type="spell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психологопедагогического</w:t>
      </w:r>
      <w:proofErr w:type="spell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сопровождения детей с ограниченными возможностями здоровья, рынок социальных услуг, рынок купли-продажи электрической энергии (мощности) на розничном рынке электрической энергии (мощности), рынок поставки сжиженного газа в баллонах, рынок лабораторных исследований</w:t>
      </w:r>
      <w:proofErr w:type="gram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выдачи ветеринарных сопроводительных документов,  рынок производства кирпича, бетона, рынок легкой промышленности.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конкуренции на товарных рынках Холмогорского района по оценке предпринимателей (</w:t>
      </w: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</w:t>
      </w: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общего числа)</w:t>
      </w:r>
    </w:p>
    <w:tbl>
      <w:tblPr>
        <w:tblStyle w:val="a3"/>
        <w:tblW w:w="9588" w:type="dxa"/>
        <w:tblLook w:val="04A0" w:firstRow="1" w:lastRow="0" w:firstColumn="1" w:lastColumn="0" w:noHBand="0" w:noVBand="1"/>
      </w:tblPr>
      <w:tblGrid>
        <w:gridCol w:w="4219"/>
        <w:gridCol w:w="1320"/>
        <w:gridCol w:w="1373"/>
        <w:gridCol w:w="1320"/>
        <w:gridCol w:w="1356"/>
      </w:tblGrid>
      <w:tr w:rsidR="00FE3F49" w:rsidRPr="00FE3F49" w:rsidTr="003F7C50">
        <w:trPr>
          <w:trHeight w:val="719"/>
        </w:trPr>
        <w:tc>
          <w:tcPr>
            <w:tcW w:w="4219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hideMark/>
          </w:tcPr>
          <w:p w:rsidR="00FE3F49" w:rsidRPr="00FE3F49" w:rsidRDefault="00FE3F49" w:rsidP="00FE3F4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Высокая конкуренция</w:t>
            </w:r>
          </w:p>
        </w:tc>
        <w:tc>
          <w:tcPr>
            <w:tcW w:w="1373" w:type="dxa"/>
            <w:hideMark/>
          </w:tcPr>
          <w:p w:rsidR="00FE3F49" w:rsidRPr="00FE3F49" w:rsidRDefault="00FE3F49" w:rsidP="00FE3F4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Умеренная конкуренция</w:t>
            </w:r>
          </w:p>
        </w:tc>
        <w:tc>
          <w:tcPr>
            <w:tcW w:w="1320" w:type="dxa"/>
            <w:hideMark/>
          </w:tcPr>
          <w:p w:rsidR="00FE3F49" w:rsidRPr="00FE3F49" w:rsidRDefault="00FE3F49" w:rsidP="00FE3F49">
            <w:pPr>
              <w:ind w:firstLine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Слабая конкуренция</w:t>
            </w:r>
          </w:p>
        </w:tc>
        <w:tc>
          <w:tcPr>
            <w:tcW w:w="1356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Конкуренция отсутствует</w:t>
            </w:r>
          </w:p>
        </w:tc>
      </w:tr>
      <w:tr w:rsidR="00FE3F49" w:rsidRPr="00FE3F49" w:rsidTr="003F7C50">
        <w:trPr>
          <w:trHeight w:val="300"/>
        </w:trPr>
        <w:tc>
          <w:tcPr>
            <w:tcW w:w="4219" w:type="dxa"/>
            <w:noWrap/>
            <w:hideMark/>
          </w:tcPr>
          <w:p w:rsidR="00FE3F49" w:rsidRPr="00FE3F49" w:rsidRDefault="00FE3F49" w:rsidP="00FE3F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услуг дошкольного образования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FE3F49" w:rsidRPr="00FE3F49" w:rsidTr="003F7C50">
        <w:trPr>
          <w:trHeight w:val="300"/>
        </w:trPr>
        <w:tc>
          <w:tcPr>
            <w:tcW w:w="4219" w:type="dxa"/>
            <w:noWrap/>
            <w:hideMark/>
          </w:tcPr>
          <w:p w:rsidR="00FE3F49" w:rsidRPr="00FE3F49" w:rsidRDefault="00FE3F49" w:rsidP="00FE3F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услуг общего образования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FE3F49" w:rsidRPr="00FE3F49" w:rsidTr="003F7C50">
        <w:trPr>
          <w:trHeight w:val="6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услуг среднего профессионального образования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FE3F49" w:rsidRPr="00FE3F49" w:rsidTr="003F7C50">
        <w:trPr>
          <w:trHeight w:val="6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услуг дополнительного образования детей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FE3F49" w:rsidRPr="00FE3F49" w:rsidTr="003F7C50">
        <w:trPr>
          <w:trHeight w:val="6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услуг детского отдыха и оздоровления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FE3F49" w:rsidRPr="00FE3F49" w:rsidTr="003F7C50">
        <w:trPr>
          <w:trHeight w:val="3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медицинских услуг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3F49" w:rsidRPr="00FE3F49" w:rsidTr="003F7C50">
        <w:trPr>
          <w:trHeight w:val="12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услуг розничной торговли лекарственными препаратами, медицинскими изделиями и сопутствующими товарами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3F49" w:rsidRPr="00FE3F49" w:rsidTr="003F7C50">
        <w:trPr>
          <w:trHeight w:val="12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психолого-педагогического сопровождения детей с ограниченными возможностями здоровья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FE3F49" w:rsidRPr="00FE3F49" w:rsidTr="003F7C50">
        <w:trPr>
          <w:trHeight w:val="3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социальных услуг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FE3F49" w:rsidRPr="00FE3F49" w:rsidTr="003F7C50">
        <w:trPr>
          <w:trHeight w:val="6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Рынок теплоснабжения (производство тепловой энергии)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3F49" w:rsidRPr="00FE3F49" w:rsidTr="003F7C50">
        <w:trPr>
          <w:trHeight w:val="9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услуг по сбору и транспортированию твердых коммунальных отходов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3F49" w:rsidRPr="00FE3F49" w:rsidTr="003F7C50">
        <w:trPr>
          <w:trHeight w:val="6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выполнения работ по благоустройству городской среды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3F49" w:rsidRPr="00FE3F49" w:rsidTr="003F7C50">
        <w:trPr>
          <w:trHeight w:val="126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выполнения работ по содержанию и текущему ремонту общего имущества собственников помещений в многоквартирном доме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3F49" w:rsidRPr="00FE3F49" w:rsidTr="003F7C50">
        <w:trPr>
          <w:trHeight w:val="6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поставки сжиженного газа в баллонах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FE3F49" w:rsidRPr="00FE3F49" w:rsidTr="003F7C50">
        <w:trPr>
          <w:trHeight w:val="12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купли-продажи электрической энергии (мощности) на розничном рынке электрической энергии (мощности)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FE3F49" w:rsidRPr="00FE3F49" w:rsidTr="003F7C50">
        <w:trPr>
          <w:trHeight w:val="18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Рынок 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</w:t>
            </w:r>
            <w:proofErr w:type="spellStart"/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когенерации</w:t>
            </w:r>
            <w:proofErr w:type="spellEnd"/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FE3F49" w:rsidRPr="00FE3F49" w:rsidTr="003F7C50">
        <w:trPr>
          <w:trHeight w:val="12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оказания услуг по перевозке пассажиров автомобильным транспортом по муниципальным маршрутам регулярных перевозок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3F49" w:rsidRPr="00FE3F49" w:rsidTr="003F7C50">
        <w:trPr>
          <w:trHeight w:val="6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оказания услуг по перевозке пассажиров и багажа легковым такси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FE3F49" w:rsidRPr="00FE3F49" w:rsidTr="003F7C50">
        <w:trPr>
          <w:trHeight w:val="1545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услуг связи, в том числе услуг по предоставлению широкополосного доступа к информационно-телекоммуникационной сети "Интернет"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3F49" w:rsidRPr="00FE3F49" w:rsidTr="003F7C50">
        <w:trPr>
          <w:trHeight w:val="15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жилищного строительства (за исключением Московского фонда реновации жилой застройки и индивидуального жилищного строительства)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3F49" w:rsidRPr="00FE3F49" w:rsidTr="003F7C50">
        <w:trPr>
          <w:trHeight w:val="12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3F49" w:rsidRPr="00FE3F49" w:rsidTr="003F7C50">
        <w:trPr>
          <w:trHeight w:val="6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архитектурно-строительного проектирования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56" w:type="dxa"/>
            <w:noWrap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3F49" w:rsidRPr="00FE3F49" w:rsidTr="003F7C50">
        <w:trPr>
          <w:trHeight w:val="6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реализации сельскохозяйственной продукции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FE3F49" w:rsidRPr="00FE3F49" w:rsidTr="003F7C50">
        <w:trPr>
          <w:trHeight w:val="9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Рынок лабораторных исследований для выдачи ветеринарных сопроводительных документов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3F49" w:rsidRPr="00FE3F49" w:rsidTr="003F7C50">
        <w:trPr>
          <w:trHeight w:val="3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племенного животноводства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FE3F49" w:rsidRPr="00FE3F49" w:rsidTr="003F7C50">
        <w:trPr>
          <w:trHeight w:val="3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семеноводства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3F49" w:rsidRPr="00FE3F49" w:rsidTr="003F7C50">
        <w:trPr>
          <w:trHeight w:val="3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Рынок </w:t>
            </w:r>
            <w:proofErr w:type="gramStart"/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товарной</w:t>
            </w:r>
            <w:proofErr w:type="gramEnd"/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аквакультуры</w:t>
            </w:r>
            <w:proofErr w:type="spellEnd"/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56" w:type="dxa"/>
            <w:noWrap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FE3F49" w:rsidRPr="00FE3F49" w:rsidTr="003F7C50">
        <w:trPr>
          <w:trHeight w:val="742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добычи общераспространенных полезных ископаемых на участках недр местного значения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3F49" w:rsidRPr="00FE3F49" w:rsidTr="003F7C50">
        <w:trPr>
          <w:trHeight w:val="235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легкой промышленности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FE3F49" w:rsidRPr="00FE3F49" w:rsidTr="003F7C50">
        <w:trPr>
          <w:trHeight w:val="6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обработки древесины и производства изделий из дерева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E3F49" w:rsidRPr="00FE3F49" w:rsidTr="003F7C50">
        <w:trPr>
          <w:trHeight w:val="3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производства кирпича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FE3F49" w:rsidRPr="00FE3F49" w:rsidTr="003F7C50">
        <w:trPr>
          <w:trHeight w:val="3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производства бетона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FE3F49" w:rsidRPr="00FE3F49" w:rsidTr="003F7C50">
        <w:trPr>
          <w:trHeight w:val="3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Сфера наружной рекламы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3F49" w:rsidRPr="00FE3F49" w:rsidTr="003F7C50">
        <w:trPr>
          <w:trHeight w:val="3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туристских услуг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</w:tbl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Оценка субъектами малого и среднего бизнеса административных барьеров при ведении бизнеса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Один из блоков анкетного опроса предпринимателей был посвящен существующим административным барьерам при ведении бизнеса. Респондентам предлагалось детально оценить деятельность ведомств </w:t>
      </w: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/>
        <w:t>и контрольно-надзорных органов, взаимодействующих с субъектами предпринимательства.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ответов по видам административных ограничений у опрошенных респондентов распределилась следующим образом.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Наибольшую трудность у предпринимателей вызывает нестабильность российского законодательства, регулирующего предпринимательскую деятельность (87,5%), а также высокий уровень налогообложения (87,5%).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К числу серьезных проблем предприниматели отнесли ограничение/сложность доступа к поставкам товаров, оказанию услуг и выполнению работ в рамках государственных (муниципальных) закупок (25%), сложность получения доступа к земельным участкам (12,5%), сложность приобретения зданий, помещений, сооружений (в собственность или в аренду), относящихся к муниципальной (государственной) собственности (12,5%), необходимость установления партнерских отношений с органами власти (12,5%), ограничение органами власти инициатив по организации</w:t>
      </w:r>
      <w:proofErr w:type="gram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совместной деятельности малых предприятий (12,5%).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тем, отсутствие ограничений отметили 12,5% от общего числа опрошенных.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последний год по оценке предпринимателей уменьшился удельный вес таких административных барьеров как сложность в получении доступа к земельным участкам, сложность приобретения зданий, помещений, </w:t>
      </w: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относящихся к муниципальной (государственной собственности) (-9,2 </w:t>
      </w:r>
      <w:proofErr w:type="spell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п.п</w:t>
      </w:r>
      <w:proofErr w:type="spell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- 4,9 </w:t>
      </w:r>
      <w:proofErr w:type="spell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п.п</w:t>
      </w:r>
      <w:proofErr w:type="spell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.).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Административные барьеры, %</w:t>
      </w:r>
    </w:p>
    <w:p w:rsidR="00FE3F49" w:rsidRPr="00FE3F49" w:rsidRDefault="00FE3F49" w:rsidP="00FE3F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6D245" wp14:editId="38FD91AF">
            <wp:extent cx="5607469" cy="381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669" cy="3812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опроса предприниматели охарактеризовали деятельность органов власти на рынке, который представляет организация.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ответов респондентов показал, что 37,5% опрошенных скорее удовлетворены деятельностью органов власти, по 25% - скорее не удовлетворены и затрудняются ответить.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участников опроса, которые не удовлетворены деятельностью органов власти, составила 12,5%.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CAC0B6" wp14:editId="674FF3A9">
            <wp:extent cx="4410075" cy="22479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респондентами уровня административных барьеров на рынке, в течение последних 3 лет.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То, что уровень и количество административных барьеров не изменилось, отметили 37% респондентов (в 2019 г. – 50 %). Также 37 % </w:t>
      </w: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опрошенных</w:t>
      </w:r>
      <w:proofErr w:type="gram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считают, что бизнесу стало сложнее преодолевать административные барьеры, чем раньше (2019 год – 35,7 %).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4389AB" wp14:editId="17050E7C">
            <wp:extent cx="5943600" cy="241935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предпринимателям предложили указать, в какие надзорные органы в 2020 году они обращались.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защитой своих прав в надзорные органы обратились 25 % респондентов от общего числа опрошенных.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50% респондентов обращались в органы власти Архангельской области и 50 % в органы местного самоуправления.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Половина респондентов ответили, что по результатам обращения в надзорные органы проблема была решена частично.</w:t>
      </w:r>
      <w:r w:rsidRPr="00FE3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50% </w:t>
      </w: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респондентов отметили, что не смогли решить свою проблему при обращении в надзорные органы.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ходе опроса были выявлены и те актуальные меры, которые, по мнению предпринимателей, будут способствовать развитию конкуренции в Холмогорском районе. Как видно из диаграммы, в числе первоочередных мер, предприниматели видят: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помощь начинающим предпринимателям – 71,4% (отметили 5 респондентов);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повышение открытости процедур региональных и муниципальных конкурсов и закупок – 57,1% (отметили 4 респондента);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создание системы информирования населения о работе различных компаний, защите прав потребителей и состоянии конкуренции – 42,9% (отметили 3 респондента);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контроль работы естественных монополий (водоснабжение, электро- и теплоснабжение) – 42,9% (отметили 3 респондента);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обеспечение добросовестной конкуренции – 28,6% (отметили 2 респондента);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создание условий для развития социального предпринимательства – 28,6% (отметили 2 респондента);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ведение учета обращений граждан, связанных с проблемами развития конкуренции – 14,3% (отметил 1 респондент).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Меры, способствующие развитию конкуренции, %</w:t>
      </w:r>
    </w:p>
    <w:p w:rsidR="00FE3F49" w:rsidRPr="00FE3F49" w:rsidRDefault="00FE3F49" w:rsidP="00FE3F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0968B7" wp14:editId="5C030643">
            <wp:extent cx="5829300" cy="33909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Оценка субъектами МСП качества услуг субъектов естественных монополий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мониторинга предпринимателям предложили оценить характеристики услуг субъектов естественных монополий в Архангельской области по следующим критериям: сроки получения доступа, сложность (количество) процедур подключения, стоимость подключения.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диаграммах ниже приведено распределение ответов респондентов в процентах от общего числа опрошенных, по каждому субъекту естественных монополий.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142F66" wp14:editId="506B4DF2">
            <wp:extent cx="4804914" cy="2493034"/>
            <wp:effectExtent l="0" t="0" r="0" b="254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диаграммы следует, что большинство респондентов (33-67%) удовлетворены сроками </w:t>
      </w: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получения доступа услуг субъектов естественных монополий</w:t>
      </w:r>
      <w:proofErr w:type="gram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9A1A5A" wp14:editId="15F1B595">
            <wp:extent cx="4899804" cy="27432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мнению предпринимателей, наиболее легкими в подключении признаны услуги водоснабжения, водоотведения, услуги водоочистки, услуги теплоснабжения и услуги телефонной связи.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CFC228" wp14:editId="61587F1A">
            <wp:extent cx="4951563" cy="2743200"/>
            <wp:effectExtent l="0" t="0" r="1905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диаграммы следует, что в наибольшей степени предприниматели удовлетворены стоимостью  подключения услуг водоснабжения, водоотведения, услуг водоочистки, услуг телефонной связи (50%), </w:t>
      </w: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наименьшей</w:t>
      </w:r>
      <w:proofErr w:type="gram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стоимостью подключения услуг газоснабжения (17 %).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Респондентам также предлагалось оценить, как изменилась сложность (количество) процедур подключения услуг субъектов естественных монополий, предоставляемых по месту ведения бизнеса, за последние 5 лет.</w:t>
      </w:r>
      <w:proofErr w:type="gramEnd"/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ответов респондентов представлено ниже.</w:t>
      </w:r>
    </w:p>
    <w:p w:rsidR="00FE3F49" w:rsidRPr="00FE3F49" w:rsidRDefault="00FE3F49" w:rsidP="00FE3F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10EAFB" wp14:editId="73134D30">
            <wp:extent cx="5438775" cy="27432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Наибольшее количество респондентов  отметило, что сложность (количество) процедур подключения услуг субъектов естественных монополий не изменилось.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проводимого мониторинга субъектам МСП также предложили оценить качество услуг субъектов естественных монополий в Архангельской области, получены следующие результаты.</w:t>
      </w:r>
      <w:r w:rsidRPr="00FE3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Большая часть респондентов отметила, что качество не изменилось в отношении  услуг теплоснабжения, телефонной связи, газоснабжения. 14 % </w:t>
      </w: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респондентов отмечают ухудшение качества услуг электроснабжения. При этом половина опрошенных респондентов отметили ухудшение качества услуг водоснабжения, водоотведения и водоочистки.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качества услуг субъектов естественных монополий</w:t>
      </w:r>
    </w:p>
    <w:p w:rsidR="00FE3F49" w:rsidRPr="00FE3F49" w:rsidRDefault="00FE3F49" w:rsidP="00FE3F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proofErr w:type="gramStart"/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% </w:t>
      </w:r>
      <w:proofErr w:type="gramStart"/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</w:t>
      </w:r>
      <w:proofErr w:type="gramEnd"/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общего числа респондентов)</w:t>
      </w:r>
    </w:p>
    <w:p w:rsidR="00FE3F49" w:rsidRPr="00FE3F49" w:rsidRDefault="00FE3F49" w:rsidP="00FE3F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851882" wp14:editId="7B0A069E">
            <wp:extent cx="5343525" cy="274320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респондентам предлагалось ответить на вопрос: «С какими проблемами Вы столкнулись при взаимодействии с субъектами естественных монополий?»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Мнения респондентов разделились следующим образом: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ACE1F8" wp14:editId="6565C99F">
            <wp:extent cx="4572000" cy="274320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42,9% </w:t>
      </w: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опрошенных</w:t>
      </w:r>
      <w:proofErr w:type="gram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отметили, что не сталкивались с подобными проблемами. Столкнулись с такими проблемами, как навязывание дополнительных услуг (14,3%) и взимание дополнительной платы (14,3%).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Большинство респондентов (26,9%) отметили, что работа по развитию конкуренции в Архангельской области в первую очередь должна быть направлена на обучение потребителей (правовой, финансовой, цифровой </w:t>
      </w: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грамотности), на информирование о формах и органах поддержки предпринимателей – 23%, на контроль обоснованности тарифов субъектов естественных монополий в сфере вод</w:t>
      </w: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электро-, газо- и теплоснабжения, ж/д и авиатранспорта – 19,23%.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в защите прав потребителей отметили 15,4 % респондентов.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Доступность заемных финансовых ресурсов</w:t>
      </w:r>
    </w:p>
    <w:p w:rsidR="00FE3F49" w:rsidRPr="00FE3F49" w:rsidRDefault="00FE3F49" w:rsidP="00FE3F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Оценивая доступность заемных финансовых ресурсов для открытия и ведения предпринимательской деятельности, больше половины опрошенных (57%) не удовлетворены доступностью заемных финансовых средств.</w:t>
      </w:r>
      <w:proofErr w:type="gramEnd"/>
    </w:p>
    <w:p w:rsidR="00FE3F49" w:rsidRPr="00FE3F49" w:rsidRDefault="00FE3F49" w:rsidP="00FE3F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F4D37F" wp14:editId="276276D8">
            <wp:extent cx="5105400" cy="213360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открытия и ведения предпринимательской деятельности подавляющее большинство респондентов  (67%) используют банковские кредиты, 33% - займы у других организаций.</w:t>
      </w:r>
    </w:p>
    <w:p w:rsidR="00FE3F49" w:rsidRPr="00FE3F49" w:rsidRDefault="00FE3F49" w:rsidP="00FE3F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760FCB" wp14:editId="5748919F">
            <wp:extent cx="4038600" cy="243840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Респондентам предлагалось ответить на вопрос: «Как, по вашему мнению, изменилась доступность заемных финансовых ресурсов для открытия и ведения предпринимательской деятельности за истекший год?»</w:t>
      </w:r>
    </w:p>
    <w:p w:rsidR="00FE3F49" w:rsidRPr="00FE3F49" w:rsidRDefault="00FE3F49" w:rsidP="00FE3F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607676B" wp14:editId="35172181">
            <wp:extent cx="4572000" cy="1571625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диаграммы видно, что большинство опрошенных (57%) считает, что доступность заемных финансовых ресурсов для открытия и ведения предпринимательской деятельности за истекший год не изменилась.</w:t>
      </w:r>
    </w:p>
    <w:p w:rsidR="0091262B" w:rsidRDefault="0091262B"/>
    <w:sectPr w:rsidR="00912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078"/>
    <w:rsid w:val="0091262B"/>
    <w:rsid w:val="00A11078"/>
    <w:rsid w:val="00FE3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3F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3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3F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3F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3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3F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26" Type="http://schemas.openxmlformats.org/officeDocument/2006/relationships/chart" Target="charts/chart21.xml"/><Relationship Id="rId3" Type="http://schemas.openxmlformats.org/officeDocument/2006/relationships/settings" Target="settings.xml"/><Relationship Id="rId21" Type="http://schemas.openxmlformats.org/officeDocument/2006/relationships/chart" Target="charts/chart16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5" Type="http://schemas.openxmlformats.org/officeDocument/2006/relationships/chart" Target="charts/chart20.xml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chart" Target="charts/chart12.xml"/><Relationship Id="rId20" Type="http://schemas.openxmlformats.org/officeDocument/2006/relationships/chart" Target="charts/chart15.xml"/><Relationship Id="rId29" Type="http://schemas.openxmlformats.org/officeDocument/2006/relationships/chart" Target="charts/chart24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24" Type="http://schemas.openxmlformats.org/officeDocument/2006/relationships/chart" Target="charts/chart19.xml"/><Relationship Id="rId32" Type="http://schemas.openxmlformats.org/officeDocument/2006/relationships/fontTable" Target="fontTable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23" Type="http://schemas.openxmlformats.org/officeDocument/2006/relationships/chart" Target="charts/chart18.xml"/><Relationship Id="rId28" Type="http://schemas.openxmlformats.org/officeDocument/2006/relationships/chart" Target="charts/chart23.xml"/><Relationship Id="rId10" Type="http://schemas.openxmlformats.org/officeDocument/2006/relationships/chart" Target="charts/chart6.xml"/><Relationship Id="rId19" Type="http://schemas.openxmlformats.org/officeDocument/2006/relationships/image" Target="media/image1.png"/><Relationship Id="rId31" Type="http://schemas.openxmlformats.org/officeDocument/2006/relationships/chart" Target="charts/chart26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Relationship Id="rId22" Type="http://schemas.openxmlformats.org/officeDocument/2006/relationships/chart" Target="charts/chart17.xml"/><Relationship Id="rId27" Type="http://schemas.openxmlformats.org/officeDocument/2006/relationships/chart" Target="charts/chart22.xml"/><Relationship Id="rId30" Type="http://schemas.openxmlformats.org/officeDocument/2006/relationships/chart" Target="charts/chart2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26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7410269587009947"/>
          <c:w val="0.99598101301167141"/>
          <c:h val="0.64657725084086115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7.0669038524300051E-2"/>
                  <c:y val="5.2437259515070042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Юридическое лицо
</a:t>
                    </a:r>
                    <a:r>
                      <a:rPr lang="ru-RU" sz="1000" b="1"/>
                      <a:t>37%</a:t>
                    </a:r>
                    <a:endParaRPr lang="ru-RU" b="1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1.4618916943613221E-2"/>
                  <c:y val="-0.15023298788824874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Индивидуальный предприниматель
</a:t>
                    </a:r>
                    <a:r>
                      <a:rPr lang="ru-RU" sz="1000" b="1"/>
                      <a:t>63%</a:t>
                    </a:r>
                    <a:endParaRPr lang="ru-RU" b="1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ПРЕДПРИНИМАТЕЛИ1!$A$5:$A$6</c:f>
              <c:strCache>
                <c:ptCount val="2"/>
                <c:pt idx="0">
                  <c:v>Юридическое лицо</c:v>
                </c:pt>
                <c:pt idx="1">
                  <c:v>Индивидуальный предприниматель</c:v>
                </c:pt>
              </c:strCache>
            </c:strRef>
          </c:cat>
          <c:val>
            <c:numRef>
              <c:f>ПРЕДПРИНИМАТЕЛИ1!$B$5:$B$6</c:f>
              <c:numCache>
                <c:formatCode>0.0</c:formatCode>
                <c:ptCount val="2"/>
                <c:pt idx="0">
                  <c:v>37.5</c:v>
                </c:pt>
                <c:pt idx="1">
                  <c:v>62.5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722222222222227E-2"/>
          <c:y val="9.0238206877117769E-2"/>
          <c:w val="0.75555555555555554"/>
          <c:h val="0.71778224847150784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1.8021544181977253E-2"/>
                  <c:y val="-0.1180993000874890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От 1 до 5 конкурентов
</a:t>
                    </a:r>
                    <a:r>
                      <a:rPr lang="ru-RU" b="1"/>
                      <a:t>57%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3.0936023622047244E-2"/>
                  <c:y val="3.802602799650043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Большое число конкурентов
</a:t>
                    </a:r>
                    <a:r>
                      <a:rPr lang="ru-RU" b="1"/>
                      <a:t>43%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ПРЕДПРИНИМАТЕЛИ3!$A$27:$A$28</c:f>
              <c:strCache>
                <c:ptCount val="2"/>
                <c:pt idx="0">
                  <c:v>От 1 до 5 конкурентов</c:v>
                </c:pt>
                <c:pt idx="1">
                  <c:v>Большое число конкурентов</c:v>
                </c:pt>
              </c:strCache>
            </c:strRef>
          </c:cat>
          <c:val>
            <c:numRef>
              <c:f>ПРЕДПРИНИМАТЕЛИ3!$B$27:$B$28</c:f>
              <c:numCache>
                <c:formatCode>0.0</c:formatCode>
                <c:ptCount val="2"/>
                <c:pt idx="0">
                  <c:v>57.142857142857139</c:v>
                </c:pt>
                <c:pt idx="1">
                  <c:v>42.857142857142854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9804396325459318"/>
          <c:y val="0"/>
          <c:w val="0.58251159230096239"/>
          <c:h val="0.76851851851851849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2.7777777777777779E-3"/>
                  <c:y val="-4.6296296296296294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37,5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77777777777777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0555555555555555E-2"/>
                  <c:y val="-9.2592592592592587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2222222222222223E-2"/>
                  <c:y val="-9.2592592592592587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12,5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ПРЕДПРИНИМАТЕЛИ3!$A$38:$A$41</c:f>
              <c:strCache>
                <c:ptCount val="4"/>
                <c:pt idx="0">
                  <c:v>Увеличилось незначительно </c:v>
                </c:pt>
                <c:pt idx="1">
                  <c:v>Увеличилось значительно</c:v>
                </c:pt>
                <c:pt idx="2">
                  <c:v>Не изменилось</c:v>
                </c:pt>
                <c:pt idx="3">
                  <c:v>Сократилось незначительно</c:v>
                </c:pt>
              </c:strCache>
            </c:strRef>
          </c:cat>
          <c:val>
            <c:numRef>
              <c:f>ПРЕДПРИНИМАТЕЛИ3!$B$38:$B$41</c:f>
              <c:numCache>
                <c:formatCode>General</c:formatCode>
                <c:ptCount val="4"/>
                <c:pt idx="0">
                  <c:v>37.5</c:v>
                </c:pt>
                <c:pt idx="1">
                  <c:v>25</c:v>
                </c:pt>
                <c:pt idx="2">
                  <c:v>25</c:v>
                </c:pt>
                <c:pt idx="3">
                  <c:v>12.5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17610880"/>
        <c:axId val="217622016"/>
        <c:axId val="0"/>
      </c:bar3DChart>
      <c:catAx>
        <c:axId val="217610880"/>
        <c:scaling>
          <c:orientation val="minMax"/>
        </c:scaling>
        <c:delete val="0"/>
        <c:axPos val="l"/>
        <c:majorTickMark val="none"/>
        <c:minorTickMark val="none"/>
        <c:tickLblPos val="nextTo"/>
        <c:crossAx val="217622016"/>
        <c:crosses val="autoZero"/>
        <c:auto val="1"/>
        <c:lblAlgn val="ctr"/>
        <c:lblOffset val="100"/>
        <c:noMultiLvlLbl val="0"/>
      </c:catAx>
      <c:valAx>
        <c:axId val="2176220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176108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3564783229457882"/>
          <c:y val="1.1443037835429491E-2"/>
          <c:w val="0.50789179854146893"/>
          <c:h val="0.97240986685955211"/>
        </c:manualLayout>
      </c:layout>
      <c:bar3D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.11726384364820847"/>
                  <c:y val="-6.9354130106709794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12,5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1726384364820847"/>
                  <c:y val="-3.4677065053354897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12,5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1726384364820847"/>
                  <c:y val="-3.4677065053354897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12,5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2160694896851248"/>
                  <c:y val="-3.4677065053354897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12,5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24755700325732899"/>
                  <c:y val="-6.9354130106710427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37,5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.27795874049945712"/>
                  <c:y val="-6.9354130106709794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ПРЕДПРИНИМАТЕЛИ3!$A$16:$A$21</c:f>
              <c:strCache>
                <c:ptCount val="6"/>
                <c:pt idx="0">
                  <c:v>Новые способы продвижения продукции (маркетинговые стратегии)</c:v>
                </c:pt>
                <c:pt idx="1">
                  <c:v>Разработка новых модификаций и форм производимой продукции, расширение ассортимента</c:v>
                </c:pt>
                <c:pt idx="2">
                  <c:v>Снижение торговой наценки</c:v>
                </c:pt>
                <c:pt idx="3">
                  <c:v>Не предпринималось никаких действий</c:v>
                </c:pt>
                <c:pt idx="4">
                  <c:v>Обучение и переподготовка персонала</c:v>
                </c:pt>
                <c:pt idx="5">
                  <c:v>Приобретение технического оборудования</c:v>
                </c:pt>
              </c:strCache>
            </c:strRef>
          </c:cat>
          <c:val>
            <c:numRef>
              <c:f>ПРЕДПРИНИМАТЕЛИ3!$B$16:$B$21</c:f>
              <c:numCache>
                <c:formatCode>General</c:formatCode>
                <c:ptCount val="6"/>
                <c:pt idx="0">
                  <c:v>12.5</c:v>
                </c:pt>
                <c:pt idx="1">
                  <c:v>12.5</c:v>
                </c:pt>
                <c:pt idx="2">
                  <c:v>12.5</c:v>
                </c:pt>
                <c:pt idx="3">
                  <c:v>12.5</c:v>
                </c:pt>
                <c:pt idx="4">
                  <c:v>37.5</c:v>
                </c:pt>
                <c:pt idx="5">
                  <c:v>50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217366912"/>
        <c:axId val="217369600"/>
        <c:axId val="0"/>
      </c:bar3DChart>
      <c:catAx>
        <c:axId val="217366912"/>
        <c:scaling>
          <c:orientation val="minMax"/>
        </c:scaling>
        <c:delete val="0"/>
        <c:axPos val="l"/>
        <c:majorTickMark val="none"/>
        <c:minorTickMark val="none"/>
        <c:tickLblPos val="nextTo"/>
        <c:crossAx val="217369600"/>
        <c:crosses val="autoZero"/>
        <c:auto val="1"/>
        <c:lblAlgn val="ctr"/>
        <c:lblOffset val="100"/>
        <c:noMultiLvlLbl val="0"/>
      </c:catAx>
      <c:valAx>
        <c:axId val="2173696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173669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3627996500437446"/>
          <c:y val="0.17592592592592593"/>
          <c:w val="0.63316447944007004"/>
          <c:h val="0.71759259259259256"/>
        </c:manualLayout>
      </c:layout>
      <c:bar3D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.26666666666666655"/>
                  <c:y val="-4.6296296296296294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28,6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27499999999999991"/>
                  <c:y val="-1.8518518518518517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28,6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33333333333333331"/>
                  <c:y val="-2.3148148148148147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42,9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ПРЕДПРИНИМАТЕЛИ3!$A$4:$A$6</c:f>
              <c:strCache>
                <c:ptCount val="3"/>
                <c:pt idx="0">
                  <c:v>Слабая конкуренция</c:v>
                </c:pt>
                <c:pt idx="1">
                  <c:v>Умеренная конкуренция</c:v>
                </c:pt>
                <c:pt idx="2">
                  <c:v>Высокая конкуренция</c:v>
                </c:pt>
              </c:strCache>
            </c:strRef>
          </c:cat>
          <c:val>
            <c:numRef>
              <c:f>ПРЕДПРИНИМАТЕЛИ3!$B$4:$B$6</c:f>
              <c:numCache>
                <c:formatCode>0.0</c:formatCode>
                <c:ptCount val="3"/>
                <c:pt idx="0">
                  <c:v>28.571428571428569</c:v>
                </c:pt>
                <c:pt idx="1">
                  <c:v>28.571428571428569</c:v>
                </c:pt>
                <c:pt idx="2">
                  <c:v>42.857142857142854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217888640"/>
        <c:axId val="217895680"/>
        <c:axId val="0"/>
      </c:bar3DChart>
      <c:catAx>
        <c:axId val="217888640"/>
        <c:scaling>
          <c:orientation val="minMax"/>
        </c:scaling>
        <c:delete val="0"/>
        <c:axPos val="l"/>
        <c:majorTickMark val="none"/>
        <c:minorTickMark val="none"/>
        <c:tickLblPos val="nextTo"/>
        <c:crossAx val="217895680"/>
        <c:crosses val="autoZero"/>
        <c:auto val="1"/>
        <c:lblAlgn val="ctr"/>
        <c:lblOffset val="100"/>
        <c:noMultiLvlLbl val="0"/>
      </c:catAx>
      <c:valAx>
        <c:axId val="217895680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2178886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314556559618867"/>
          <c:y val="0.25231482228703844"/>
          <c:w val="0.66666666666666663"/>
          <c:h val="0.6342592592592593"/>
        </c:manualLayout>
      </c:layout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4.4129470696764206E-2"/>
                  <c:y val="-4.313888027012859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Удовлетворительные 
</a:t>
                    </a:r>
                    <a:r>
                      <a:rPr lang="ru-RU" b="1"/>
                      <a:t>50%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6.2062554680664919E-2"/>
                  <c:y val="8.141979900241828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Неудовлетворительные
</a:t>
                    </a:r>
                    <a:r>
                      <a:rPr lang="ru-RU" b="1"/>
                      <a:t>37%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3.1042201138150434E-2"/>
                  <c:y val="-7.224068148089408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Плохие
</a:t>
                    </a:r>
                    <a:r>
                      <a:rPr lang="ru-RU" b="1"/>
                      <a:t>13%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ПРЕДПРИНИМАТЕЛИ3!$A$50:$A$52</c:f>
              <c:strCache>
                <c:ptCount val="3"/>
                <c:pt idx="0">
                  <c:v>Удовлетворительные </c:v>
                </c:pt>
                <c:pt idx="1">
                  <c:v>Неудовлетворительные</c:v>
                </c:pt>
                <c:pt idx="2">
                  <c:v>Плохие</c:v>
                </c:pt>
              </c:strCache>
            </c:strRef>
          </c:cat>
          <c:val>
            <c:numRef>
              <c:f>ПРЕДПРИНИМАТЕЛИ3!$B$50:$B$52</c:f>
              <c:numCache>
                <c:formatCode>General</c:formatCode>
                <c:ptCount val="3"/>
                <c:pt idx="0">
                  <c:v>50</c:v>
                </c:pt>
                <c:pt idx="1">
                  <c:v>37.5</c:v>
                </c:pt>
                <c:pt idx="2">
                  <c:v>12.5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805555555555555"/>
          <c:y val="0.32408829104695241"/>
          <c:w val="0.81388888888888888"/>
          <c:h val="0.52899934383202096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4.0835520559930007E-4"/>
                  <c:y val="-0.103097477398658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Скорее удовлетворен
</a:t>
                    </a:r>
                    <a:r>
                      <a:rPr lang="ru-RU" b="1"/>
                      <a:t>37,5%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27708223972003498"/>
                  <c:y val="-1.682852143482064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Скорее не удовлетворен
</a:t>
                    </a:r>
                    <a:r>
                      <a:rPr lang="ru-RU" b="1"/>
                      <a:t>25%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2.9211942257217849E-2"/>
                  <c:y val="0.1411504811898512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Затрудняюсь ответить
</a:t>
                    </a:r>
                    <a:r>
                      <a:rPr lang="ru-RU" b="1"/>
                      <a:t>25%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Не удовлетворен
</a:t>
                    </a:r>
                    <a:r>
                      <a:rPr lang="ru-RU" b="1"/>
                      <a:t>12,5%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ПРЕДПРИНИМАТЕЛИ5!$A$18:$A$21</c:f>
              <c:strCache>
                <c:ptCount val="4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  <c:pt idx="3">
                  <c:v>Не удовлетворен</c:v>
                </c:pt>
              </c:strCache>
            </c:strRef>
          </c:cat>
          <c:val>
            <c:numRef>
              <c:f>ПРЕДПРИНИМАТЕЛИ5!$B$18:$B$21</c:f>
              <c:numCache>
                <c:formatCode>General</c:formatCode>
                <c:ptCount val="4"/>
                <c:pt idx="0">
                  <c:v>37.5</c:v>
                </c:pt>
                <c:pt idx="1">
                  <c:v>25</c:v>
                </c:pt>
                <c:pt idx="2">
                  <c:v>25</c:v>
                </c:pt>
                <c:pt idx="3">
                  <c:v>12.5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435551226199817"/>
          <c:y val="0.3645156708660332"/>
          <c:w val="0.77419848292159354"/>
          <c:h val="0.53504668437261693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2.6969634413675819E-2"/>
                  <c:y val="-0.1731342202914290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Уровень и количество административных барьеров не изменились
</a:t>
                    </a:r>
                    <a:r>
                      <a:rPr lang="ru-RU" b="1"/>
                      <a:t>37%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54557069411267411"/>
                  <c:y val="-7.339080459770114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Бизнесу стало сложнее преодолевать административные барьеры, чем раньше
</a:t>
                    </a:r>
                    <a:r>
                      <a:rPr lang="ru-RU" b="1"/>
                      <a:t>37%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7.1441224486114493E-2"/>
                  <c:y val="0.3724898191864213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Административные барьеры отсутствуют, как и ранее
</a:t>
                    </a:r>
                    <a:r>
                      <a:rPr lang="ru-RU" b="1"/>
                      <a:t>13%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13778800121894874"/>
                  <c:y val="-6.84985066521857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Затрудняюсь ответить
</a:t>
                    </a:r>
                    <a:r>
                      <a:rPr lang="ru-RU" b="1"/>
                      <a:t>13%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ПРЕДПРИНИМАТЕЛИ5!$A$30:$A$33</c:f>
              <c:strCache>
                <c:ptCount val="4"/>
                <c:pt idx="0">
                  <c:v>Уровень и количество административных барьеров не изменились</c:v>
                </c:pt>
                <c:pt idx="1">
                  <c:v>Бизнесу стало сложнее преодолевать административные барьеры, чем раньше</c:v>
                </c:pt>
                <c:pt idx="2">
                  <c:v>Административные барьеры отсутствуют, как и ранее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ПРЕДПРИНИМАТЕЛИ5!$B$30:$B$33</c:f>
              <c:numCache>
                <c:formatCode>General</c:formatCode>
                <c:ptCount val="4"/>
                <c:pt idx="0">
                  <c:v>37.5</c:v>
                </c:pt>
                <c:pt idx="1">
                  <c:v>37.5</c:v>
                </c:pt>
                <c:pt idx="2">
                  <c:v>12.5</c:v>
                </c:pt>
                <c:pt idx="3">
                  <c:v>12.5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452936030055067"/>
          <c:y val="3.0215576985461089E-2"/>
          <c:w val="0.48415401506184275"/>
          <c:h val="0.92933351027750744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71,4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57,1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42,9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368265245707519E-3"/>
                  <c:y val="-3.3627561255118272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42,9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7365304914149513E-3"/>
                  <c:y val="-6.7255122510236545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28,6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28,6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en-US" b="1"/>
                      <a:t>14,3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ПРЕДПРИНИМАТЕЛИ6!$A$3:$A$9</c:f>
              <c:strCache>
                <c:ptCount val="7"/>
                <c:pt idx="0">
                  <c:v>Помощь начинающим предпринимателям</c:v>
                </c:pt>
                <c:pt idx="1">
                  <c:v>Повышение открытости процедур региональных и муниципальных конкурсов и закупок</c:v>
                </c:pt>
                <c:pt idx="2">
                  <c:v>Создание системы информирования населения о работе различных компаний, защите прав потребителей и состоянии конкуренции</c:v>
                </c:pt>
                <c:pt idx="3">
                  <c:v>Контроль работы естественных монополий (водоснабжение, электро- и теплоснабжение)</c:v>
                </c:pt>
                <c:pt idx="4">
                  <c:v>Обеспечение добросовестной конкуренции</c:v>
                </c:pt>
                <c:pt idx="5">
                  <c:v>Создание условий для развития социального предпринимательства</c:v>
                </c:pt>
                <c:pt idx="6">
                  <c:v>Ведение учета обращений граждан, связанных с проблемами развития конкуренции</c:v>
                </c:pt>
              </c:strCache>
            </c:strRef>
          </c:cat>
          <c:val>
            <c:numRef>
              <c:f>ПРЕДПРИНИМАТЕЛИ6!$B$3:$B$9</c:f>
              <c:numCache>
                <c:formatCode>0.0</c:formatCode>
                <c:ptCount val="7"/>
                <c:pt idx="0">
                  <c:v>71.428571428571416</c:v>
                </c:pt>
                <c:pt idx="1">
                  <c:v>57.142857142857139</c:v>
                </c:pt>
                <c:pt idx="2">
                  <c:v>42.857142857142854</c:v>
                </c:pt>
                <c:pt idx="3">
                  <c:v>42.857142857142854</c:v>
                </c:pt>
                <c:pt idx="4">
                  <c:v>28.571428571428569</c:v>
                </c:pt>
                <c:pt idx="5">
                  <c:v>28.571428571428569</c:v>
                </c:pt>
                <c:pt idx="6">
                  <c:v>14.285714285714285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18403968"/>
        <c:axId val="218447872"/>
      </c:barChart>
      <c:catAx>
        <c:axId val="218403968"/>
        <c:scaling>
          <c:orientation val="minMax"/>
        </c:scaling>
        <c:delete val="0"/>
        <c:axPos val="l"/>
        <c:majorTickMark val="none"/>
        <c:minorTickMark val="none"/>
        <c:tickLblPos val="nextTo"/>
        <c:crossAx val="218447872"/>
        <c:crosses val="autoZero"/>
        <c:auto val="1"/>
        <c:lblAlgn val="ctr"/>
        <c:lblOffset val="100"/>
        <c:noMultiLvlLbl val="0"/>
      </c:catAx>
      <c:valAx>
        <c:axId val="218447872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21840396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Сроки получения доступа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ПРЕДПРИНИМАТЕЛИ7!$H$3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67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67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57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67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ПРЕДПРИНИМАТЕЛИ7!$G$4:$G$9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ПРЕДПРИНИМАТЕЛИ7!$H$4:$H$9</c:f>
              <c:numCache>
                <c:formatCode>0</c:formatCode>
                <c:ptCount val="6"/>
                <c:pt idx="0">
                  <c:v>66.666666666666671</c:v>
                </c:pt>
                <c:pt idx="1">
                  <c:v>66.666666666666671</c:v>
                </c:pt>
                <c:pt idx="2">
                  <c:v>33.333333333333336</c:v>
                </c:pt>
                <c:pt idx="3">
                  <c:v>57.142857142857139</c:v>
                </c:pt>
                <c:pt idx="4">
                  <c:v>66.666666666666671</c:v>
                </c:pt>
                <c:pt idx="5" formatCode="General">
                  <c:v>50</c:v>
                </c:pt>
              </c:numCache>
            </c:numRef>
          </c:val>
        </c:ser>
        <c:ser>
          <c:idx val="1"/>
          <c:order val="1"/>
          <c:tx>
            <c:strRef>
              <c:f>ПРЕДПРИНИМАТЕЛИ7!$I$3</c:f>
              <c:strCache>
                <c:ptCount val="1"/>
                <c:pt idx="0">
                  <c:v>Не удовлетворительно</c:v>
                </c:pt>
              </c:strCache>
            </c:strRef>
          </c:tx>
          <c:invertIfNegative val="0"/>
          <c:dLbls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ПРЕДПРИНИМАТЕЛИ7!$G$4:$G$9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ПРЕДПРИНИМАТЕЛИ7!$I$4:$I$9</c:f>
              <c:numCache>
                <c:formatCode>General</c:formatCode>
                <c:ptCount val="6"/>
                <c:pt idx="5" formatCode="0">
                  <c:v>16.666666666666668</c:v>
                </c:pt>
              </c:numCache>
            </c:numRef>
          </c:val>
        </c:ser>
        <c:ser>
          <c:idx val="2"/>
          <c:order val="2"/>
          <c:tx>
            <c:strRef>
              <c:f>ПРЕДПРИНИМАТЕЛИ7!$J$3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67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43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ПРЕДПРИНИМАТЕЛИ7!$G$4:$G$9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ПРЕДПРИНИМАТЕЛИ7!$J$4:$J$9</c:f>
              <c:numCache>
                <c:formatCode>0</c:formatCode>
                <c:ptCount val="6"/>
                <c:pt idx="0">
                  <c:v>33.333333333333336</c:v>
                </c:pt>
                <c:pt idx="1">
                  <c:v>33.333333333333336</c:v>
                </c:pt>
                <c:pt idx="2">
                  <c:v>66.666666666666671</c:v>
                </c:pt>
                <c:pt idx="3">
                  <c:v>42.857142857142854</c:v>
                </c:pt>
                <c:pt idx="4">
                  <c:v>33.333333333333336</c:v>
                </c:pt>
                <c:pt idx="5">
                  <c:v>33.333333333333336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218552576"/>
        <c:axId val="218578944"/>
        <c:axId val="0"/>
      </c:bar3DChart>
      <c:catAx>
        <c:axId val="218552576"/>
        <c:scaling>
          <c:orientation val="minMax"/>
        </c:scaling>
        <c:delete val="0"/>
        <c:axPos val="b"/>
        <c:majorTickMark val="none"/>
        <c:minorTickMark val="none"/>
        <c:tickLblPos val="nextTo"/>
        <c:crossAx val="218578944"/>
        <c:crosses val="autoZero"/>
        <c:auto val="1"/>
        <c:lblAlgn val="ctr"/>
        <c:lblOffset val="100"/>
        <c:noMultiLvlLbl val="0"/>
      </c:catAx>
      <c:valAx>
        <c:axId val="21857894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21855257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Сложность (количество) процедур подключения</a:t>
            </a:r>
          </a:p>
        </c:rich>
      </c:tx>
      <c:layout>
        <c:manualLayout>
          <c:xMode val="edge"/>
          <c:yMode val="edge"/>
          <c:x val="0.20350699912510933"/>
          <c:y val="3.7037037037037035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ПРЕДПРИНИМАТЕЛИ7!$H$11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29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ПРЕДПРИНИМАТЕЛИ7!$G$12:$G$17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ПРЕДПРИНИМАТЕЛИ7!$H$12:$H$17</c:f>
              <c:numCache>
                <c:formatCode>0</c:formatCode>
                <c:ptCount val="6"/>
                <c:pt idx="0">
                  <c:v>33.333333333333336</c:v>
                </c:pt>
                <c:pt idx="1">
                  <c:v>33.333333333333336</c:v>
                </c:pt>
                <c:pt idx="2">
                  <c:v>16.666666666666668</c:v>
                </c:pt>
                <c:pt idx="3">
                  <c:v>28.571428571428569</c:v>
                </c:pt>
                <c:pt idx="4">
                  <c:v>33.333333333333336</c:v>
                </c:pt>
                <c:pt idx="5">
                  <c:v>33.333333333333336</c:v>
                </c:pt>
              </c:numCache>
            </c:numRef>
          </c:val>
        </c:ser>
        <c:ser>
          <c:idx val="1"/>
          <c:order val="1"/>
          <c:tx>
            <c:strRef>
              <c:f>ПРЕДПРИНИМАТЕЛИ7!$I$11</c:f>
              <c:strCache>
                <c:ptCount val="1"/>
                <c:pt idx="0">
                  <c:v>Не удовлетворительно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4.6296296296296294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14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ПРЕДПРИНИМАТЕЛИ7!$G$12:$G$17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ПРЕДПРИНИМАТЕЛИ7!$I$12:$I$17</c:f>
              <c:numCache>
                <c:formatCode>0</c:formatCode>
                <c:ptCount val="6"/>
                <c:pt idx="0">
                  <c:v>16.666666666666668</c:v>
                </c:pt>
                <c:pt idx="1">
                  <c:v>16.666666666666668</c:v>
                </c:pt>
                <c:pt idx="2">
                  <c:v>16.666666666666668</c:v>
                </c:pt>
                <c:pt idx="3">
                  <c:v>14.285714285714285</c:v>
                </c:pt>
                <c:pt idx="4">
                  <c:v>16.666666666666668</c:v>
                </c:pt>
                <c:pt idx="5">
                  <c:v>16.666666666666668</c:v>
                </c:pt>
              </c:numCache>
            </c:numRef>
          </c:val>
        </c:ser>
        <c:ser>
          <c:idx val="2"/>
          <c:order val="2"/>
          <c:tx>
            <c:strRef>
              <c:f>ПРЕДПРИНИМАТЕЛИ7!$J$11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67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57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ПРЕДПРИНИМАТЕЛИ7!$G$12:$G$17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ПРЕДПРИНИМАТЕЛИ7!$J$12:$J$17</c:f>
              <c:numCache>
                <c:formatCode>General</c:formatCode>
                <c:ptCount val="6"/>
                <c:pt idx="0">
                  <c:v>50</c:v>
                </c:pt>
                <c:pt idx="1">
                  <c:v>50</c:v>
                </c:pt>
                <c:pt idx="2" formatCode="0">
                  <c:v>66.666666666666671</c:v>
                </c:pt>
                <c:pt idx="3" formatCode="0">
                  <c:v>57.142857142857139</c:v>
                </c:pt>
                <c:pt idx="4">
                  <c:v>50</c:v>
                </c:pt>
                <c:pt idx="5">
                  <c:v>50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218815488"/>
        <c:axId val="218829568"/>
        <c:axId val="0"/>
      </c:bar3DChart>
      <c:catAx>
        <c:axId val="218815488"/>
        <c:scaling>
          <c:orientation val="minMax"/>
        </c:scaling>
        <c:delete val="0"/>
        <c:axPos val="b"/>
        <c:majorTickMark val="none"/>
        <c:minorTickMark val="none"/>
        <c:tickLblPos val="nextTo"/>
        <c:crossAx val="218829568"/>
        <c:crosses val="autoZero"/>
        <c:auto val="1"/>
        <c:lblAlgn val="ctr"/>
        <c:lblOffset val="100"/>
        <c:noMultiLvlLbl val="0"/>
      </c:catAx>
      <c:valAx>
        <c:axId val="21882956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21881548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0"/>
    </mc:Choice>
    <mc:Fallback>
      <c:style val="2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Занимаемая должность опрошенных предпринимателей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0.11362882764654408"/>
                  <c:y val="-0.1035862780761958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Собственник бизнеса 
</a:t>
                    </a:r>
                    <a:r>
                      <a:rPr lang="ru-RU" b="1"/>
                      <a:t>62%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8.8352143482064743E-2"/>
                  <c:y val="9.669358426620780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Руководитель высшего звена 
</a:t>
                    </a:r>
                    <a:r>
                      <a:rPr lang="ru-RU" b="1"/>
                      <a:t>38%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ПРЕДПРИНИМАТЕЛИ1!$A$48:$A$49</c:f>
              <c:strCache>
                <c:ptCount val="2"/>
                <c:pt idx="0">
                  <c:v>Собственник бизнеса </c:v>
                </c:pt>
                <c:pt idx="1">
                  <c:v>Руководитель высшего звена </c:v>
                </c:pt>
              </c:strCache>
            </c:strRef>
          </c:cat>
          <c:val>
            <c:numRef>
              <c:f>ПРЕДПРИНИМАТЕЛИ1!$B$48:$B$49</c:f>
              <c:numCache>
                <c:formatCode>General</c:formatCode>
                <c:ptCount val="2"/>
                <c:pt idx="0">
                  <c:v>62.5</c:v>
                </c:pt>
                <c:pt idx="1">
                  <c:v>37.5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Стоимость подключения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ПРЕДПРИНИМАТЕЛИ7!$H$19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29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ПРЕДПРИНИМАТЕЛИ7!$G$20:$G$25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ПРЕДПРИНИМАТЕЛИ7!$H$20:$H$25</c:f>
              <c:numCache>
                <c:formatCode>General</c:formatCode>
                <c:ptCount val="6"/>
                <c:pt idx="0">
                  <c:v>50</c:v>
                </c:pt>
                <c:pt idx="1">
                  <c:v>50</c:v>
                </c:pt>
                <c:pt idx="2" formatCode="0">
                  <c:v>16.666666666666668</c:v>
                </c:pt>
                <c:pt idx="3" formatCode="0">
                  <c:v>28.571428571428569</c:v>
                </c:pt>
                <c:pt idx="4" formatCode="0">
                  <c:v>33.333333333333336</c:v>
                </c:pt>
                <c:pt idx="5">
                  <c:v>50</c:v>
                </c:pt>
              </c:numCache>
            </c:numRef>
          </c:val>
        </c:ser>
        <c:ser>
          <c:idx val="1"/>
          <c:order val="1"/>
          <c:tx>
            <c:strRef>
              <c:f>ПРЕДПРИНИМАТЕЛИ7!$I$19</c:f>
              <c:strCache>
                <c:ptCount val="1"/>
                <c:pt idx="0">
                  <c:v>Не удовлетворительно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14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ПРЕДПРИНИМАТЕЛИ7!$G$20:$G$25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ПРЕДПРИНИМАТЕЛИ7!$I$20:$I$25</c:f>
              <c:numCache>
                <c:formatCode>0</c:formatCode>
                <c:ptCount val="6"/>
                <c:pt idx="0">
                  <c:v>16.666666666666668</c:v>
                </c:pt>
                <c:pt idx="1">
                  <c:v>16.666666666666668</c:v>
                </c:pt>
                <c:pt idx="2">
                  <c:v>16.666666666666668</c:v>
                </c:pt>
                <c:pt idx="3">
                  <c:v>14.285714285714285</c:v>
                </c:pt>
                <c:pt idx="4">
                  <c:v>16.666666666666668</c:v>
                </c:pt>
                <c:pt idx="5">
                  <c:v>16.666666666666668</c:v>
                </c:pt>
              </c:numCache>
            </c:numRef>
          </c:val>
        </c:ser>
        <c:ser>
          <c:idx val="2"/>
          <c:order val="2"/>
          <c:tx>
            <c:strRef>
              <c:f>ПРЕДПРИНИМАТЕЛИ7!$J$19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67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57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ПРЕДПРИНИМАТЕЛИ7!$G$20:$G$25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ПРЕДПРИНИМАТЕЛИ7!$J$20:$J$25</c:f>
              <c:numCache>
                <c:formatCode>0</c:formatCode>
                <c:ptCount val="6"/>
                <c:pt idx="0">
                  <c:v>33.333333333333336</c:v>
                </c:pt>
                <c:pt idx="1">
                  <c:v>33.333333333333336</c:v>
                </c:pt>
                <c:pt idx="2">
                  <c:v>66.666666666666671</c:v>
                </c:pt>
                <c:pt idx="3">
                  <c:v>57.142857142857139</c:v>
                </c:pt>
                <c:pt idx="4" formatCode="General">
                  <c:v>50</c:v>
                </c:pt>
                <c:pt idx="5">
                  <c:v>33.333333333333336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223317376"/>
        <c:axId val="223323264"/>
        <c:axId val="0"/>
      </c:bar3DChart>
      <c:catAx>
        <c:axId val="223317376"/>
        <c:scaling>
          <c:orientation val="minMax"/>
        </c:scaling>
        <c:delete val="0"/>
        <c:axPos val="b"/>
        <c:majorTickMark val="none"/>
        <c:minorTickMark val="none"/>
        <c:tickLblPos val="nextTo"/>
        <c:crossAx val="223323264"/>
        <c:crosses val="autoZero"/>
        <c:auto val="1"/>
        <c:lblAlgn val="ctr"/>
        <c:lblOffset val="100"/>
        <c:noMultiLvlLbl val="0"/>
      </c:catAx>
      <c:valAx>
        <c:axId val="22332326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22331737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ПРЕДПРИНИМАТЕЛИ7!$H$30</c:f>
              <c:strCache>
                <c:ptCount val="1"/>
                <c:pt idx="0">
                  <c:v>Снизилось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20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ПРЕДПРИНИМАТЕЛИ7!$G$31:$G$36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ПРЕДПРИНИМАТЕЛИ7!$H$31:$H$36</c:f>
              <c:numCache>
                <c:formatCode>General</c:formatCode>
                <c:ptCount val="6"/>
                <c:pt idx="0">
                  <c:v>20</c:v>
                </c:pt>
              </c:numCache>
            </c:numRef>
          </c:val>
        </c:ser>
        <c:ser>
          <c:idx val="1"/>
          <c:order val="1"/>
          <c:tx>
            <c:strRef>
              <c:f>ПРЕДПРИНИМАТЕЛИ7!$I$30</c:f>
              <c:strCache>
                <c:ptCount val="1"/>
                <c:pt idx="0">
                  <c:v>Увеличилось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20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20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ПРЕДПРИНИМАТЕЛИ7!$G$31:$G$36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ПРЕДПРИНИМАТЕЛИ7!$I$31:$I$36</c:f>
              <c:numCache>
                <c:formatCode>General</c:formatCode>
                <c:ptCount val="6"/>
                <c:pt idx="0">
                  <c:v>20</c:v>
                </c:pt>
                <c:pt idx="1">
                  <c:v>25</c:v>
                </c:pt>
                <c:pt idx="2">
                  <c:v>25</c:v>
                </c:pt>
                <c:pt idx="3">
                  <c:v>20</c:v>
                </c:pt>
                <c:pt idx="4">
                  <c:v>25</c:v>
                </c:pt>
                <c:pt idx="5">
                  <c:v>25</c:v>
                </c:pt>
              </c:numCache>
            </c:numRef>
          </c:val>
        </c:ser>
        <c:ser>
          <c:idx val="2"/>
          <c:order val="2"/>
          <c:tx>
            <c:strRef>
              <c:f>ПРЕДПРИНИМАТЕЛИ7!$J$30</c:f>
              <c:strCache>
                <c:ptCount val="1"/>
                <c:pt idx="0">
                  <c:v>Не изменилось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60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75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75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80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75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75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ПРЕДПРИНИМАТЕЛИ7!$G$31:$G$36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ПРЕДПРИНИМАТЕЛИ7!$J$31:$J$36</c:f>
              <c:numCache>
                <c:formatCode>General</c:formatCode>
                <c:ptCount val="6"/>
                <c:pt idx="0">
                  <c:v>60</c:v>
                </c:pt>
                <c:pt idx="1">
                  <c:v>75</c:v>
                </c:pt>
                <c:pt idx="2">
                  <c:v>75</c:v>
                </c:pt>
                <c:pt idx="3">
                  <c:v>80</c:v>
                </c:pt>
                <c:pt idx="4">
                  <c:v>75</c:v>
                </c:pt>
                <c:pt idx="5">
                  <c:v>75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223543680"/>
        <c:axId val="223545216"/>
        <c:axId val="0"/>
      </c:bar3DChart>
      <c:catAx>
        <c:axId val="223543680"/>
        <c:scaling>
          <c:orientation val="minMax"/>
        </c:scaling>
        <c:delete val="0"/>
        <c:axPos val="l"/>
        <c:majorTickMark val="none"/>
        <c:minorTickMark val="none"/>
        <c:tickLblPos val="nextTo"/>
        <c:crossAx val="223545216"/>
        <c:crosses val="autoZero"/>
        <c:auto val="1"/>
        <c:lblAlgn val="ctr"/>
        <c:lblOffset val="100"/>
        <c:noMultiLvlLbl val="0"/>
      </c:catAx>
      <c:valAx>
        <c:axId val="2235452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235436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ПРЕДПРИНИМАТЕЛИ7!$H$42</c:f>
              <c:strCache>
                <c:ptCount val="1"/>
                <c:pt idx="0">
                  <c:v>Ухудшилось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14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ПРЕДПРИНИМАТЕЛИ7!$G$43:$G$48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ПРЕДПРИНИМАТЕЛИ7!$H$43:$H$48</c:f>
              <c:numCache>
                <c:formatCode>General</c:formatCode>
                <c:ptCount val="6"/>
                <c:pt idx="0">
                  <c:v>50</c:v>
                </c:pt>
                <c:pt idx="1">
                  <c:v>50</c:v>
                </c:pt>
                <c:pt idx="3" formatCode="0">
                  <c:v>14.285714285714285</c:v>
                </c:pt>
              </c:numCache>
            </c:numRef>
          </c:val>
        </c:ser>
        <c:ser>
          <c:idx val="1"/>
          <c:order val="1"/>
          <c:tx>
            <c:strRef>
              <c:f>ПРЕДПРИНИМАТЕЛИ7!$I$42</c:f>
              <c:strCache>
                <c:ptCount val="1"/>
                <c:pt idx="0">
                  <c:v>Улучшилось</c:v>
                </c:pt>
              </c:strCache>
            </c:strRef>
          </c:tx>
          <c:invertIfNegative val="0"/>
          <c:cat>
            <c:strRef>
              <c:f>ПРЕДПРИНИМАТЕЛИ7!$G$43:$G$48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ПРЕДПРИНИМАТЕЛИ7!$I$43:$I$48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ПРЕДПРИНИМАТЕЛИ7!$J$42</c:f>
              <c:strCache>
                <c:ptCount val="1"/>
                <c:pt idx="0">
                  <c:v>Не изменилось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100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86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100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100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ПРЕДПРИНИМАТЕЛИ7!$G$43:$G$48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ПРЕДПРИНИМАТЕЛИ7!$J$43:$J$48</c:f>
              <c:numCache>
                <c:formatCode>General</c:formatCode>
                <c:ptCount val="6"/>
                <c:pt idx="0">
                  <c:v>50</c:v>
                </c:pt>
                <c:pt idx="1">
                  <c:v>50</c:v>
                </c:pt>
                <c:pt idx="2">
                  <c:v>100</c:v>
                </c:pt>
                <c:pt idx="3" formatCode="0">
                  <c:v>85.714285714285708</c:v>
                </c:pt>
                <c:pt idx="4">
                  <c:v>100</c:v>
                </c:pt>
                <c:pt idx="5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223300992"/>
        <c:axId val="223811840"/>
        <c:axId val="0"/>
      </c:bar3DChart>
      <c:catAx>
        <c:axId val="223300992"/>
        <c:scaling>
          <c:orientation val="minMax"/>
        </c:scaling>
        <c:delete val="0"/>
        <c:axPos val="l"/>
        <c:majorTickMark val="none"/>
        <c:minorTickMark val="none"/>
        <c:tickLblPos val="nextTo"/>
        <c:crossAx val="223811840"/>
        <c:crosses val="autoZero"/>
        <c:auto val="1"/>
        <c:lblAlgn val="ctr"/>
        <c:lblOffset val="100"/>
        <c:noMultiLvlLbl val="0"/>
      </c:catAx>
      <c:valAx>
        <c:axId val="2238118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233009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14,3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14,3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28,6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42,9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ПРЕДПРИНИМАТЕЛИ6!$A$15:$A$18</c:f>
              <c:strCache>
                <c:ptCount val="4"/>
                <c:pt idx="0">
                  <c:v>Взимание дополнительной платы</c:v>
                </c:pt>
                <c:pt idx="1">
                  <c:v>Навязывание дополнительных услуг </c:v>
                </c:pt>
                <c:pt idx="2">
                  <c:v>Затрудняюсь ответить</c:v>
                </c:pt>
                <c:pt idx="3">
                  <c:v>Не сталкивался с подобными проблемами</c:v>
                </c:pt>
              </c:strCache>
            </c:strRef>
          </c:cat>
          <c:val>
            <c:numRef>
              <c:f>ПРЕДПРИНИМАТЕЛИ6!$B$15:$B$18</c:f>
              <c:numCache>
                <c:formatCode>0.0</c:formatCode>
                <c:ptCount val="4"/>
                <c:pt idx="0">
                  <c:v>14.285714285714285</c:v>
                </c:pt>
                <c:pt idx="1">
                  <c:v>14.285714285714285</c:v>
                </c:pt>
                <c:pt idx="2">
                  <c:v>28.571428571428569</c:v>
                </c:pt>
                <c:pt idx="3">
                  <c:v>42.857142857142854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23470720"/>
        <c:axId val="224071680"/>
      </c:barChart>
      <c:catAx>
        <c:axId val="223470720"/>
        <c:scaling>
          <c:orientation val="minMax"/>
        </c:scaling>
        <c:delete val="0"/>
        <c:axPos val="l"/>
        <c:majorTickMark val="none"/>
        <c:minorTickMark val="none"/>
        <c:tickLblPos val="nextTo"/>
        <c:crossAx val="224071680"/>
        <c:crosses val="autoZero"/>
        <c:auto val="1"/>
        <c:lblAlgn val="ctr"/>
        <c:lblOffset val="100"/>
        <c:noMultiLvlLbl val="0"/>
      </c:catAx>
      <c:valAx>
        <c:axId val="224071680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2234707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'[Диаграмма в Microsoft Word]ПРЕДПРИНИМАТЕЛИ8'!$G$4</c:f>
              <c:strCache>
                <c:ptCount val="1"/>
                <c:pt idx="0">
                  <c:v>Доступность заемных финансовых ресурсов</c:v>
                </c:pt>
              </c:strCache>
            </c:strRef>
          </c:tx>
          <c:dLbls>
            <c:dLbl>
              <c:idx val="0"/>
              <c:layout>
                <c:manualLayout>
                  <c:x val="1.628080072080542E-2"/>
                  <c:y val="2.986923509561305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14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9892270928820466E-2"/>
                  <c:y val="-0.2123017435320585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57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540094801582639E-3"/>
                  <c:y val="-2.1177352830896137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29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'[Диаграмма в Microsoft Word]ПРЕДПРИНИМАТЕЛИ8'!$H$3:$J$3</c:f>
              <c:strCache>
                <c:ptCount val="3"/>
                <c:pt idx="0">
                  <c:v>Полностью удовлетворен</c:v>
                </c:pt>
                <c:pt idx="1">
                  <c:v>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'[Диаграмма в Microsoft Word]ПРЕДПРИНИМАТЕЛИ8'!$H$4:$J$4</c:f>
              <c:numCache>
                <c:formatCode>0</c:formatCode>
                <c:ptCount val="3"/>
                <c:pt idx="0">
                  <c:v>14.285714285714285</c:v>
                </c:pt>
                <c:pt idx="1">
                  <c:v>57.142857142857139</c:v>
                </c:pt>
                <c:pt idx="2">
                  <c:v>28.571428571428569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6118197725284344"/>
          <c:y val="0.24256702287214099"/>
          <c:w val="0.30826246719160105"/>
          <c:h val="0.53867547806524185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249999999999999"/>
          <c:y val="0.1875"/>
          <c:w val="0.5805555555555556"/>
          <c:h val="0.54629629629629628"/>
        </c:manualLayout>
      </c:layout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7.3738517060367451E-2"/>
                  <c:y val="-0.2109135316418780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Банковские карты
</a:t>
                    </a:r>
                    <a:r>
                      <a:rPr lang="ru-RU" b="1"/>
                      <a:t>67%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5.4776793525809275E-2"/>
                  <c:y val="2.632327209098862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Займы у других организаций
</a:t>
                    </a:r>
                    <a:r>
                      <a:rPr lang="ru-RU" b="1"/>
                      <a:t>33%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ПРЕДПРИНИМАТЕЛИ8!$A$10:$A$11</c:f>
              <c:strCache>
                <c:ptCount val="2"/>
                <c:pt idx="0">
                  <c:v>Банковские карты</c:v>
                </c:pt>
                <c:pt idx="1">
                  <c:v>Займы у других организаций</c:v>
                </c:pt>
              </c:strCache>
            </c:strRef>
          </c:cat>
          <c:val>
            <c:numRef>
              <c:f>ПРЕДПРИНИМАТЕЛИ8!$B$10:$B$11</c:f>
              <c:numCache>
                <c:formatCode>0</c:formatCode>
                <c:ptCount val="2"/>
                <c:pt idx="0">
                  <c:v>66.666666666666671</c:v>
                </c:pt>
                <c:pt idx="1">
                  <c:v>33.333333333333336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555555555555555E-2"/>
          <c:y val="0.16242089530475357"/>
          <c:w val="0.92777777777777781"/>
          <c:h val="0.70572636753739104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ПРЕДПРИНИМАТЕЛИ8!$G$22</c:f>
              <c:strCache>
                <c:ptCount val="1"/>
                <c:pt idx="0">
                  <c:v>Доступность заемных финансовых ресурсов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14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29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57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ПРЕДПРИНИМАТЕЛИ8!$H$21:$J$21</c:f>
              <c:strCache>
                <c:ptCount val="3"/>
                <c:pt idx="0">
                  <c:v>Повысилась</c:v>
                </c:pt>
                <c:pt idx="1">
                  <c:v>Снизилась</c:v>
                </c:pt>
                <c:pt idx="2">
                  <c:v>Не изменилась</c:v>
                </c:pt>
              </c:strCache>
            </c:strRef>
          </c:cat>
          <c:val>
            <c:numRef>
              <c:f>ПРЕДПРИНИМАТЕЛИ8!$H$22:$J$22</c:f>
              <c:numCache>
                <c:formatCode>0</c:formatCode>
                <c:ptCount val="3"/>
                <c:pt idx="0">
                  <c:v>14.285714285714285</c:v>
                </c:pt>
                <c:pt idx="1">
                  <c:v>28.571428571428569</c:v>
                </c:pt>
                <c:pt idx="2">
                  <c:v>57.142857142857139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186745600"/>
        <c:axId val="186747136"/>
        <c:axId val="0"/>
      </c:bar3DChart>
      <c:catAx>
        <c:axId val="186745600"/>
        <c:scaling>
          <c:orientation val="minMax"/>
        </c:scaling>
        <c:delete val="0"/>
        <c:axPos val="b"/>
        <c:majorTickMark val="none"/>
        <c:minorTickMark val="none"/>
        <c:tickLblPos val="nextTo"/>
        <c:crossAx val="186747136"/>
        <c:crosses val="autoZero"/>
        <c:auto val="1"/>
        <c:lblAlgn val="ctr"/>
        <c:lblOffset val="100"/>
        <c:noMultiLvlLbl val="0"/>
      </c:catAx>
      <c:valAx>
        <c:axId val="186747136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extTo"/>
        <c:crossAx val="18674560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>
                <a:latin typeface="+mn-lt"/>
              </a:defRPr>
            </a:pPr>
            <a:r>
              <a:rPr lang="ru-RU" sz="1400" b="1">
                <a:latin typeface="+mn-lt"/>
              </a:rPr>
              <a:t>Масштаб ведения бизнеса опрошенных предпринимателей, %</a:t>
            </a:r>
          </a:p>
        </c:rich>
      </c:tx>
      <c:layout>
        <c:manualLayout>
          <c:xMode val="edge"/>
          <c:yMode val="edge"/>
          <c:x val="0.13335263828461905"/>
          <c:y val="2.3458599553232061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018995824544072"/>
          <c:y val="0.26139242632312115"/>
          <c:w val="0.51203816301083915"/>
          <c:h val="0.64024738438435469"/>
        </c:manualLayout>
      </c:layout>
      <c:pie3DChart>
        <c:varyColors val="1"/>
        <c:ser>
          <c:idx val="0"/>
          <c:order val="0"/>
          <c:dPt>
            <c:idx val="0"/>
            <c:bubble3D val="0"/>
          </c:dPt>
          <c:dPt>
            <c:idx val="1"/>
            <c:bubble3D val="0"/>
          </c:dPt>
          <c:dLbls>
            <c:dLbl>
              <c:idx val="0"/>
              <c:layout>
                <c:manualLayout>
                  <c:x val="6.1816486117027829E-2"/>
                  <c:y val="-4.7321362131529533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4.8364310979166644E-2"/>
                  <c:y val="-2.802695490153450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12460574206095054"/>
                  <c:y val="3.140380313199105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'распр по возрасту'!$C$1:$C$2</c:f>
              <c:strCache>
                <c:ptCount val="2"/>
                <c:pt idx="0">
                  <c:v>Малый</c:v>
                </c:pt>
                <c:pt idx="1">
                  <c:v>Средний</c:v>
                </c:pt>
              </c:strCache>
            </c:strRef>
          </c:cat>
          <c:val>
            <c:numRef>
              <c:f>'распр по возрасту'!$D$1:$D$2</c:f>
              <c:numCache>
                <c:formatCode>0.0%</c:formatCode>
                <c:ptCount val="2"/>
                <c:pt idx="0">
                  <c:v>0.875</c:v>
                </c:pt>
                <c:pt idx="1">
                  <c:v>0.125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174089445017886"/>
          <c:y val="0.3574034057665455"/>
          <c:w val="0.20454366118728889"/>
          <c:h val="0.21107231600004087"/>
        </c:manualLayout>
      </c:layout>
      <c:overlay val="0"/>
      <c:spPr>
        <a:ln w="3175"/>
      </c:spPr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noFill/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Продолжительность ведения бизнеса респондентами, %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9.3937445319335081E-2"/>
                  <c:y val="3.800780110819480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от 1 года до 5 лет
</a:t>
                    </a:r>
                    <a:r>
                      <a:rPr lang="ru-RU" b="1"/>
                      <a:t>25%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6.8029965004374457E-2"/>
                  <c:y val="1.422462817147856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более 5 лет
</a:t>
                    </a:r>
                    <a:r>
                      <a:rPr lang="ru-RU" b="1"/>
                      <a:t>75%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ПРЕДПРИНИМАТЕЛИ1!$A$15:$A$16</c:f>
              <c:strCache>
                <c:ptCount val="2"/>
                <c:pt idx="0">
                  <c:v>от 1 года до 5 лет</c:v>
                </c:pt>
                <c:pt idx="1">
                  <c:v>более 5 лет</c:v>
                </c:pt>
              </c:strCache>
            </c:strRef>
          </c:cat>
          <c:val>
            <c:numRef>
              <c:f>ПРЕДПРИНИМАТЕЛИ1!$B$15:$B$16</c:f>
              <c:numCache>
                <c:formatCode>General</c:formatCode>
                <c:ptCount val="2"/>
                <c:pt idx="0">
                  <c:v>25</c:v>
                </c:pt>
                <c:pt idx="1">
                  <c:v>75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Численность сотрудников в организациях опрошенных, чел. </a:t>
            </a:r>
          </a:p>
        </c:rich>
      </c:tx>
      <c:layout>
        <c:manualLayout>
          <c:xMode val="edge"/>
          <c:yMode val="edge"/>
          <c:x val="0.14903477690288713"/>
          <c:y val="2.7777777777777776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Работаю самостоятельно
</a:t>
                    </a:r>
                    <a:r>
                      <a:rPr lang="ru-RU" b="1"/>
                      <a:t>12%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1.5271106736657918E-2"/>
                  <c:y val="4.9653689122193057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до 15 человек
</a:t>
                    </a:r>
                    <a:r>
                      <a:rPr lang="ru-RU" b="1"/>
                      <a:t>50%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1.2390857392825897E-2"/>
                  <c:y val="-7.620953630796149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от 16 до 100 человек
</a:t>
                    </a:r>
                    <a:r>
                      <a:rPr lang="ru-RU" b="1"/>
                      <a:t>38%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ПРЕДПРИНИМАТЕЛИ1!$A$27:$A$29</c:f>
              <c:strCache>
                <c:ptCount val="3"/>
                <c:pt idx="0">
                  <c:v>Работаю самостоятельно</c:v>
                </c:pt>
                <c:pt idx="1">
                  <c:v>до 15 человек</c:v>
                </c:pt>
                <c:pt idx="2">
                  <c:v>от 16 до 100 человек</c:v>
                </c:pt>
              </c:strCache>
            </c:strRef>
          </c:cat>
          <c:val>
            <c:numRef>
              <c:f>ПРЕДПРИНИМАТЕЛИ1!$B$27:$B$29</c:f>
              <c:numCache>
                <c:formatCode>General</c:formatCode>
                <c:ptCount val="3"/>
                <c:pt idx="0">
                  <c:v>12.5</c:v>
                </c:pt>
                <c:pt idx="1">
                  <c:v>50</c:v>
                </c:pt>
                <c:pt idx="2">
                  <c:v>37.5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Величина годовой выручки в организациях респондентов, %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0.10722233158355206"/>
                  <c:y val="5.337561971420239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до 120 млн.рублей (микропредприятие)
</a:t>
                    </a:r>
                    <a:r>
                      <a:rPr lang="ru-RU" b="1"/>
                      <a:t>57%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8.8132436570428699E-2"/>
                  <c:y val="0.117033027121609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от 120 до 800 млн. рублей (малое предприятие)
</a:t>
                    </a:r>
                    <a:r>
                      <a:rPr lang="ru-RU" b="1"/>
                      <a:t>29%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от 800 до 2000 млн. рублей (среднее предприятие)
</a:t>
                    </a:r>
                    <a:r>
                      <a:rPr lang="ru-RU" b="1"/>
                      <a:t>14%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ПРЕДПРИНИМАТЕЛИ1!$A$38:$A$40</c:f>
              <c:strCache>
                <c:ptCount val="3"/>
                <c:pt idx="0">
                  <c:v>до 120 млн.рублей (микропредприятие)</c:v>
                </c:pt>
                <c:pt idx="1">
                  <c:v>от 120 до 800 млн. рублей (малое предприятие)</c:v>
                </c:pt>
                <c:pt idx="2">
                  <c:v>от 800 до 2000 млн. рублей (среднее предприятие)</c:v>
                </c:pt>
              </c:strCache>
            </c:strRef>
          </c:cat>
          <c:val>
            <c:numRef>
              <c:f>ПРЕДПРИНИМАТЕЛИ1!$B$38:$B$40</c:f>
              <c:numCache>
                <c:formatCode>0.0</c:formatCode>
                <c:ptCount val="3"/>
                <c:pt idx="0">
                  <c:v>57.142857142857139</c:v>
                </c:pt>
                <c:pt idx="1">
                  <c:v>28.571428571428569</c:v>
                </c:pt>
                <c:pt idx="2">
                  <c:v>14.285714285714285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805555555555557"/>
          <c:y val="0.27083333333333331"/>
          <c:w val="0.65"/>
          <c:h val="0.6157407407407407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3.5736329833770779E-2"/>
                  <c:y val="-5.574620880723243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Локальный рынок
</a:t>
                    </a:r>
                    <a:r>
                      <a:rPr lang="ru-RU" b="1"/>
                      <a:t>50%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4.8423009623797024E-2"/>
                  <c:y val="-2.79684310294546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Региональный рынок
</a:t>
                    </a:r>
                    <a:r>
                      <a:rPr lang="ru-RU" b="1"/>
                      <a:t>50%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ПРЕДПРИНИМАТЕЛИ2!$A$39:$A$40</c:f>
              <c:strCache>
                <c:ptCount val="2"/>
                <c:pt idx="0">
                  <c:v>Локальный рынок</c:v>
                </c:pt>
                <c:pt idx="1">
                  <c:v>Региональный рынок</c:v>
                </c:pt>
              </c:strCache>
            </c:strRef>
          </c:cat>
          <c:val>
            <c:numRef>
              <c:f>ПРЕДПРИНИМАТЕЛИ2!$B$39:$B$40</c:f>
              <c:numCache>
                <c:formatCode>General</c:formatCode>
                <c:ptCount val="2"/>
                <c:pt idx="0">
                  <c:v>50</c:v>
                </c:pt>
                <c:pt idx="1">
                  <c:v>50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9152770667988749"/>
          <c:y val="8.9788107590230333E-4"/>
          <c:w val="0.50847229332011246"/>
          <c:h val="0.98056839884980929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1200" b="1"/>
                      <a:t>12,5</a:t>
                    </a:r>
                    <a:r>
                      <a:rPr lang="ru-RU" sz="1200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200" b="1"/>
                      <a:t>12,5</a:t>
                    </a:r>
                    <a:r>
                      <a:rPr lang="ru-RU" sz="1200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200" b="1"/>
                      <a:t>12,5</a:t>
                    </a:r>
                    <a:r>
                      <a:rPr lang="ru-RU" sz="1200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sz="1200" b="1"/>
                      <a:t>12,5</a:t>
                    </a:r>
                    <a:r>
                      <a:rPr lang="ru-RU" sz="1200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1200" b="1"/>
                      <a:t>12,5</a:t>
                    </a:r>
                    <a:r>
                      <a:rPr lang="ru-RU" sz="1200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6.3311436902586697E-3"/>
                  <c:y val="-7.007458099136514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37,5</a:t>
                    </a:r>
                    <a:r>
                      <a:rPr lang="ru-RU" sz="1200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ПРЕДПРИНИМАТЕЛИ2!$A$4:$A$9</c:f>
              <c:strCache>
                <c:ptCount val="6"/>
                <c:pt idx="0">
                  <c:v>Рынок оказания услуг по перевозке пассажиров автомобильным транспортом по межмуниципальным маршрутам регулярных перевозок</c:v>
                </c:pt>
                <c:pt idx="1">
                  <c:v>Рынок оказания услуг по перевозке пассажиров и багажа легковым такси</c:v>
                </c:pt>
                <c:pt idx="2">
                  <c:v>Прочие (Розничная торговля)</c:v>
                </c:pt>
                <c:pt idx="3">
                  <c:v>Рынок племенного животноводства</c:v>
                </c:pt>
                <c:pt idx="4">
                  <c:v>Рынок обработки древесины и производства изделий из дерева</c:v>
                </c:pt>
                <c:pt idx="5">
                  <c:v>Рынок реализации сельскохозяйственной продукции</c:v>
                </c:pt>
              </c:strCache>
            </c:strRef>
          </c:cat>
          <c:val>
            <c:numRef>
              <c:f>ПРЕДПРИНИМАТЕЛИ2!$B$4:$B$9</c:f>
              <c:numCache>
                <c:formatCode>0.0</c:formatCode>
                <c:ptCount val="6"/>
                <c:pt idx="0">
                  <c:v>12.5</c:v>
                </c:pt>
                <c:pt idx="1">
                  <c:v>12.5</c:v>
                </c:pt>
                <c:pt idx="2">
                  <c:v>12.5</c:v>
                </c:pt>
                <c:pt idx="3">
                  <c:v>12.5</c:v>
                </c:pt>
                <c:pt idx="4">
                  <c:v>12.5</c:v>
                </c:pt>
                <c:pt idx="5">
                  <c:v>37.5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16469888"/>
        <c:axId val="216472576"/>
        <c:axId val="0"/>
      </c:bar3DChart>
      <c:catAx>
        <c:axId val="216469888"/>
        <c:scaling>
          <c:orientation val="minMax"/>
        </c:scaling>
        <c:delete val="0"/>
        <c:axPos val="l"/>
        <c:majorTickMark val="none"/>
        <c:minorTickMark val="none"/>
        <c:tickLblPos val="nextTo"/>
        <c:crossAx val="216472576"/>
        <c:crosses val="autoZero"/>
        <c:auto val="1"/>
        <c:lblAlgn val="ctr"/>
        <c:lblOffset val="100"/>
        <c:noMultiLvlLbl val="0"/>
      </c:catAx>
      <c:valAx>
        <c:axId val="216472576"/>
        <c:scaling>
          <c:orientation val="minMax"/>
        </c:scaling>
        <c:delete val="1"/>
        <c:axPos val="b"/>
        <c:numFmt formatCode="0.0" sourceLinked="1"/>
        <c:majorTickMark val="none"/>
        <c:minorTickMark val="none"/>
        <c:tickLblPos val="nextTo"/>
        <c:crossAx val="2164698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Основная продукция (товар, работа, услуги) бизнеса</a:t>
            </a:r>
          </a:p>
        </c:rich>
      </c:tx>
      <c:layout>
        <c:manualLayout>
          <c:xMode val="edge"/>
          <c:yMode val="edge"/>
          <c:x val="0.11582220866927079"/>
          <c:y val="4.021934874144031E-3"/>
        </c:manualLayout>
      </c:layout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5.2340644919385074E-2"/>
                  <c:y val="-9.767898804316127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Сырье и материалы для дальнейшей переработки
</a:t>
                    </a:r>
                    <a:r>
                      <a:rPr lang="ru-RU" b="1"/>
                      <a:t>37%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23728278283396392"/>
                  <c:y val="-3.282405240840180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Услуги
</a:t>
                    </a:r>
                    <a:r>
                      <a:rPr lang="ru-RU" b="1"/>
                      <a:t>25%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12540350069877629"/>
                  <c:y val="0.255587999416739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Конечная продукция
</a:t>
                    </a:r>
                    <a:r>
                      <a:rPr lang="ru-RU" b="1"/>
                      <a:t>25%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24884284350819783"/>
                  <c:y val="0.1631944444444444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Бизнес осуществляет торговлю или дистрибуцию товаров и услуг, произведенных другими компаниями
</a:t>
                    </a:r>
                    <a:r>
                      <a:rPr lang="ru-RU" b="1"/>
                      <a:t>13%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ПРЕДПРИНИМАТЕЛИ2!$A$15:$A$18</c:f>
              <c:strCache>
                <c:ptCount val="4"/>
                <c:pt idx="0">
                  <c:v>Сырье и материалы для дальнейшей переработки</c:v>
                </c:pt>
                <c:pt idx="1">
                  <c:v>Услуги</c:v>
                </c:pt>
                <c:pt idx="2">
                  <c:v>Конечная продукция</c:v>
                </c:pt>
                <c:pt idx="3">
                  <c:v>Бизнес осуществляет торговлю или дистрибуцию товаров и услуг, произведенных другими компаниями</c:v>
                </c:pt>
              </c:strCache>
            </c:strRef>
          </c:cat>
          <c:val>
            <c:numRef>
              <c:f>ПРЕДПРИНИМАТЕЛИ2!$B$15:$B$18</c:f>
              <c:numCache>
                <c:formatCode>General</c:formatCode>
                <c:ptCount val="4"/>
                <c:pt idx="0">
                  <c:v>37.5</c:v>
                </c:pt>
                <c:pt idx="1">
                  <c:v>25</c:v>
                </c:pt>
                <c:pt idx="2">
                  <c:v>25</c:v>
                </c:pt>
                <c:pt idx="3">
                  <c:v>12.5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0.15799</cdr:x>
      <cdr:y>0.2326</cdr:y>
    </cdr:from>
    <cdr:to>
      <cdr:x>0.76371</cdr:x>
      <cdr:y>0.27677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07049" y="1097663"/>
          <a:ext cx="3117226" cy="1973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2636</Words>
  <Characters>15029</Characters>
  <Application>Microsoft Office Word</Application>
  <DocSecurity>0</DocSecurity>
  <Lines>125</Lines>
  <Paragraphs>35</Paragraphs>
  <ScaleCrop>false</ScaleCrop>
  <Company/>
  <LinksUpToDate>false</LinksUpToDate>
  <CharactersWithSpaces>17630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Павозкова Ирина Михайловна</dc:creator>
  <cp:keywords/>
  <dc:description/>
  <cp:lastModifiedBy>Павозкова Ирина Михайловна</cp:lastModifiedBy>
  <cp:revision>2</cp:revision>
  <dcterms:created xsi:type="dcterms:W3CDTF">2021-01-22T06:25:00Z</dcterms:created>
  <dcterms:modified xsi:type="dcterms:W3CDTF">2021-01-22T06:25:00Z</dcterms:modified>
</cp:coreProperties>
</file>